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Theme="minorEastAsia"/>
          <w:b/>
          <w:bCs/>
          <w:sz w:val="30"/>
          <w:szCs w:val="30"/>
          <w:lang w:eastAsia="zh-CN"/>
        </w:rPr>
      </w:pPr>
      <w:bookmarkStart w:id="0" w:name="_Toc509412862"/>
      <w:bookmarkStart w:id="1" w:name="_Toc508093994"/>
      <w:r>
        <w:rPr>
          <w:rFonts w:hint="eastAsia" w:ascii="宋体" w:hAnsi="宋体" w:eastAsia="宋体" w:cs="宋体"/>
          <w:b/>
          <w:bCs/>
          <w:sz w:val="30"/>
          <w:szCs w:val="30"/>
        </w:rPr>
        <w:t>※</w:t>
      </w:r>
      <w:r>
        <w:rPr>
          <w:rFonts w:hint="eastAsia" w:eastAsia="宋体"/>
          <w:b/>
          <w:bCs/>
          <w:sz w:val="30"/>
          <w:szCs w:val="30"/>
          <w:lang w:eastAsia="zh-CN"/>
        </w:rPr>
        <w:t>202</w:t>
      </w:r>
      <w:r>
        <w:rPr>
          <w:rFonts w:hint="eastAsia" w:eastAsia="宋体"/>
          <w:b/>
          <w:bCs/>
          <w:sz w:val="30"/>
          <w:szCs w:val="30"/>
          <w:lang w:val="en-US" w:eastAsia="zh-CN"/>
        </w:rPr>
        <w:t>2</w:t>
      </w:r>
      <w:r>
        <w:rPr>
          <w:b/>
          <w:bCs/>
          <w:sz w:val="30"/>
          <w:szCs w:val="30"/>
        </w:rPr>
        <w:t>年度广西</w:t>
      </w:r>
      <w:bookmarkEnd w:id="0"/>
      <w:bookmarkEnd w:id="1"/>
      <w:r>
        <w:rPr>
          <w:rFonts w:hint="eastAsia"/>
          <w:b/>
          <w:bCs/>
          <w:sz w:val="30"/>
          <w:szCs w:val="30"/>
          <w:lang w:eastAsia="zh-CN"/>
        </w:rPr>
        <w:t>自然科学奖公示材料</w:t>
      </w:r>
    </w:p>
    <w:p>
      <w:pPr>
        <w:numPr>
          <w:numId w:val="0"/>
        </w:numPr>
        <w:spacing w:line="360" w:lineRule="auto"/>
        <w:rPr>
          <w:rFonts w:ascii="Times New Roman" w:eastAsia="黑体"/>
          <w:b/>
          <w:sz w:val="24"/>
        </w:rPr>
      </w:pPr>
      <w:bookmarkStart w:id="12" w:name="_GoBack"/>
      <w:bookmarkEnd w:id="12"/>
    </w:p>
    <w:p>
      <w:pPr>
        <w:numPr>
          <w:ilvl w:val="0"/>
          <w:numId w:val="1"/>
        </w:numPr>
        <w:spacing w:line="360" w:lineRule="auto"/>
        <w:rPr>
          <w:rFonts w:ascii="Times New Roman" w:eastAsia="黑体"/>
          <w:b/>
          <w:sz w:val="24"/>
        </w:rPr>
      </w:pPr>
      <w:r>
        <w:rPr>
          <w:rFonts w:hint="eastAsia" w:ascii="Times New Roman" w:eastAsia="黑体"/>
          <w:b/>
          <w:sz w:val="24"/>
        </w:rPr>
        <w:t>成果</w:t>
      </w:r>
      <w:r>
        <w:rPr>
          <w:rFonts w:ascii="Times New Roman" w:eastAsia="黑体"/>
          <w:b/>
          <w:sz w:val="24"/>
        </w:rPr>
        <w:t>名称</w:t>
      </w:r>
      <w:r>
        <w:rPr>
          <w:rFonts w:hint="eastAsia" w:ascii="Times New Roman" w:eastAsia="黑体"/>
          <w:b/>
          <w:sz w:val="24"/>
        </w:rPr>
        <w:t>：</w:t>
      </w:r>
      <w:r>
        <w:rPr>
          <w:rFonts w:hint="eastAsia"/>
          <w:sz w:val="24"/>
        </w:rPr>
        <w:t>可解群的新特性及相关结构　</w:t>
      </w:r>
      <w:r>
        <w:rPr>
          <w:rFonts w:hint="eastAsia" w:ascii="Times New Roman" w:eastAsia="黑体"/>
          <w:bCs/>
          <w:sz w:val="24"/>
        </w:rPr>
        <w:t>（自治区科技成果登记号：</w:t>
      </w:r>
      <w:r>
        <w:rPr>
          <w:rFonts w:ascii="Times New Roman" w:eastAsia="黑体"/>
          <w:bCs/>
          <w:sz w:val="24"/>
        </w:rPr>
        <w:t>201919793</w:t>
      </w:r>
      <w:r>
        <w:rPr>
          <w:rFonts w:hint="eastAsia" w:ascii="Times New Roman" w:eastAsia="黑体"/>
          <w:bCs/>
          <w:sz w:val="24"/>
        </w:rPr>
        <w:t>、202022041）</w:t>
      </w:r>
    </w:p>
    <w:p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ascii="Times New Roman" w:eastAsia="黑体"/>
          <w:b/>
          <w:sz w:val="24"/>
        </w:rPr>
        <w:t>拟提名者</w:t>
      </w:r>
      <w:r>
        <w:rPr>
          <w:rFonts w:hint="eastAsia" w:ascii="Times New Roman" w:eastAsia="黑体"/>
          <w:b/>
          <w:sz w:val="24"/>
        </w:rPr>
        <w:t>：</w:t>
      </w:r>
      <w:r>
        <w:rPr>
          <w:rFonts w:hint="eastAsia"/>
          <w:sz w:val="24"/>
        </w:rPr>
        <w:t>广西壮族自治区教育厅</w:t>
      </w:r>
    </w:p>
    <w:p>
      <w:pPr>
        <w:numPr>
          <w:ilvl w:val="0"/>
          <w:numId w:val="1"/>
        </w:numPr>
        <w:spacing w:line="360" w:lineRule="auto"/>
        <w:rPr>
          <w:rFonts w:ascii="Times New Roman" w:eastAsia="黑体"/>
          <w:b/>
          <w:sz w:val="24"/>
        </w:rPr>
      </w:pPr>
      <w:r>
        <w:rPr>
          <w:rFonts w:hint="eastAsia" w:ascii="Times New Roman" w:eastAsia="黑体"/>
          <w:b/>
          <w:sz w:val="24"/>
        </w:rPr>
        <w:t>成果</w:t>
      </w:r>
      <w:r>
        <w:rPr>
          <w:rFonts w:ascii="Times New Roman" w:eastAsia="黑体"/>
          <w:b/>
          <w:sz w:val="24"/>
        </w:rPr>
        <w:t>简介</w:t>
      </w:r>
    </w:p>
    <w:p>
      <w:pPr>
        <w:adjustRightInd w:val="0"/>
        <w:snapToGrid w:val="0"/>
        <w:ind w:firstLine="480" w:firstLineChars="200"/>
        <w:rPr>
          <w:rFonts w:ascii="Times New Roman" w:eastAsia="宋体"/>
          <w:sz w:val="24"/>
        </w:rPr>
      </w:pPr>
      <w:r>
        <w:rPr>
          <w:rFonts w:ascii="Times New Roman" w:eastAsia="宋体"/>
          <w:sz w:val="24"/>
        </w:rPr>
        <w:t>本项目属于群与代数前沿研究领域</w:t>
      </w:r>
      <w:r>
        <w:rPr>
          <w:rFonts w:hint="eastAsia" w:ascii="Times New Roman" w:eastAsia="宋体"/>
          <w:sz w:val="24"/>
        </w:rPr>
        <w:t>。由伽罗瓦定理知，高次代数方程有根式解当且仅当它对应的伽罗瓦群是可解群。因此，可解群的结构描述既具有理论意义，也有应用价值。另一方面，1980年有限单群分类定理完成后，有限群研究的重点也转向了可解群。本项目</w:t>
      </w:r>
      <w:r>
        <w:rPr>
          <w:rFonts w:ascii="Times New Roman" w:eastAsia="宋体"/>
          <w:sz w:val="24"/>
        </w:rPr>
        <w:t>主要研究</w:t>
      </w:r>
      <w:r>
        <w:rPr>
          <w:rFonts w:hint="eastAsia" w:ascii="Times New Roman" w:eastAsia="宋体"/>
          <w:sz w:val="24"/>
        </w:rPr>
        <w:t>可解群</w:t>
      </w:r>
      <w:r>
        <w:rPr>
          <w:rFonts w:ascii="Times New Roman" w:eastAsia="宋体"/>
          <w:sz w:val="24"/>
        </w:rPr>
        <w:t>的结构及其表示理论</w:t>
      </w:r>
      <w:r>
        <w:rPr>
          <w:rFonts w:hint="eastAsia" w:ascii="Times New Roman" w:eastAsia="宋体"/>
          <w:sz w:val="24"/>
        </w:rPr>
        <w:t>。</w:t>
      </w:r>
      <w:r>
        <w:rPr>
          <w:rFonts w:ascii="Times New Roman" w:hAnsi="Times New Roman" w:cs="Times New Roman"/>
          <w:sz w:val="24"/>
        </w:rPr>
        <w:t>重要</w:t>
      </w:r>
      <w:r>
        <w:rPr>
          <w:rFonts w:hint="eastAsia" w:ascii="Times New Roman" w:hAnsi="Times New Roman" w:cs="Times New Roman"/>
          <w:sz w:val="24"/>
        </w:rPr>
        <w:t>的</w:t>
      </w:r>
      <w:r>
        <w:rPr>
          <w:rFonts w:ascii="Times New Roman" w:hAnsi="Times New Roman" w:cs="Times New Roman"/>
          <w:sz w:val="24"/>
        </w:rPr>
        <w:t>科学</w:t>
      </w:r>
      <w:r>
        <w:rPr>
          <w:rFonts w:hint="eastAsia" w:ascii="Times New Roman" w:hAnsi="Times New Roman" w:cs="Times New Roman"/>
          <w:sz w:val="24"/>
        </w:rPr>
        <w:t>发</w:t>
      </w:r>
      <w:r>
        <w:rPr>
          <w:rFonts w:ascii="Times New Roman" w:hAnsi="Times New Roman" w:cs="Times New Roman"/>
          <w:sz w:val="24"/>
        </w:rPr>
        <w:t>现</w:t>
      </w:r>
      <w:r>
        <w:rPr>
          <w:rFonts w:hint="eastAsia" w:ascii="Times New Roman" w:hAnsi="Times New Roman" w:cs="Times New Roman"/>
          <w:sz w:val="24"/>
        </w:rPr>
        <w:t>点</w:t>
      </w:r>
      <w:r>
        <w:rPr>
          <w:rFonts w:ascii="Times New Roman" w:hAnsi="Times New Roman" w:cs="Times New Roman"/>
          <w:sz w:val="24"/>
        </w:rPr>
        <w:t>与创新点如下：</w:t>
      </w:r>
    </w:p>
    <w:p>
      <w:pPr>
        <w:adjustRightInd w:val="0"/>
        <w:snapToGrid w:val="0"/>
        <w:ind w:firstLine="482" w:firstLineChars="20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1.</w:t>
      </w:r>
      <w:r>
        <w:rPr>
          <w:rFonts w:hint="eastAsia" w:ascii="Times New Roman" w:hAnsi="Times New Roman" w:cs="Times New Roman"/>
          <w:b/>
          <w:sz w:val="24"/>
        </w:rPr>
        <w:t>提出了SS-可补子群的概念， 使得子群的若干广义正规性和可补性得到统一推广，从而给出了可解群结构的若干新描述，揭示了可解群的新特性。</w:t>
      </w:r>
    </w:p>
    <w:p>
      <w:pPr>
        <w:adjustRightInd w:val="0"/>
        <w:snapToGrid w:val="0"/>
        <w:ind w:firstLine="480" w:firstLineChars="20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正规性</w:t>
      </w:r>
      <w:r>
        <w:rPr>
          <w:rFonts w:hint="eastAsia" w:ascii="Times New Roman" w:hAnsi="Times New Roman" w:cs="Times New Roman"/>
          <w:sz w:val="24"/>
        </w:rPr>
        <w:t>、</w:t>
      </w:r>
      <w:r>
        <w:rPr>
          <w:rFonts w:hint="eastAsia" w:ascii="Times New Roman" w:eastAsia="宋体"/>
          <w:sz w:val="24"/>
        </w:rPr>
        <w:t>可补性是子群的两类最要的性质。通过正规子群，可以作商群。而群论大家Hall最早使用可补性来描述可解群的性质。针对子群这两类独立的性质，提出了SS-可补子群的概念，使得子群的若干广义正规性和可补性得到统一推广。同时，使用该概念给出了可解群结构的若干新描述，揭示了可解群的新特性，为可解群的研究提供新的参考。</w:t>
      </w:r>
    </w:p>
    <w:p>
      <w:pPr>
        <w:autoSpaceDE w:val="0"/>
        <w:autoSpaceDN w:val="0"/>
        <w:adjustRightInd w:val="0"/>
        <w:ind w:firstLine="482" w:firstLineChars="200"/>
        <w:jc w:val="left"/>
        <w:rPr>
          <w:rFonts w:ascii="Times New Roman" w:hAnsi="Times New Roman" w:cs="Times New Roman"/>
          <w:b/>
          <w:sz w:val="24"/>
        </w:rPr>
      </w:pPr>
      <w:r>
        <w:rPr>
          <w:rFonts w:hint="eastAsia" w:ascii="Times New Roman" w:hAnsi="Times New Roman" w:cs="Times New Roman"/>
          <w:b/>
          <w:sz w:val="24"/>
        </w:rPr>
        <w:t>2.推广了</w:t>
      </w:r>
      <w:r>
        <w:rPr>
          <w:rFonts w:ascii="Times New Roman" w:eastAsia="宋体"/>
          <w:sz w:val="24"/>
        </w:rPr>
        <w:t>Schmidt</w:t>
      </w:r>
      <w:r>
        <w:rPr>
          <w:rFonts w:ascii="Times New Roman" w:hAnsi="Times New Roman" w:cs="Times New Roman"/>
          <w:b/>
          <w:sz w:val="24"/>
        </w:rPr>
        <w:t>定理</w:t>
      </w:r>
      <w:r>
        <w:rPr>
          <w:rFonts w:hint="eastAsia" w:ascii="Times New Roman" w:hAnsi="Times New Roman" w:cs="Times New Roman"/>
          <w:b/>
          <w:sz w:val="24"/>
        </w:rPr>
        <w:t>，给出可解群的若干新的判定定理，揭示了非幂零子群、非正规子群等特殊子群的数量性质与有限群的可解性之间的联系。</w:t>
      </w:r>
    </w:p>
    <w:p>
      <w:pPr>
        <w:autoSpaceDE w:val="0"/>
        <w:autoSpaceDN w:val="0"/>
        <w:adjustRightInd w:val="0"/>
        <w:jc w:val="left"/>
        <w:rPr>
          <w:rFonts w:ascii="CMSL8" w:hAnsi="Times New Roman" w:eastAsia="CMSL8" w:cs="CMSL8"/>
          <w:kern w:val="0"/>
          <w:sz w:val="20"/>
          <w:szCs w:val="20"/>
        </w:rPr>
      </w:pPr>
      <w:r>
        <w:rPr>
          <w:rFonts w:hint="eastAsia" w:ascii="Times New Roman" w:eastAsia="宋体"/>
          <w:sz w:val="24"/>
        </w:rPr>
        <w:t>著名的</w:t>
      </w:r>
      <w:r>
        <w:rPr>
          <w:rFonts w:ascii="Times New Roman" w:eastAsia="宋体"/>
          <w:sz w:val="24"/>
        </w:rPr>
        <w:t>Schmidt定理阐述了内幂零群</w:t>
      </w:r>
      <w:r>
        <w:rPr>
          <w:rFonts w:hint="eastAsia" w:ascii="Times New Roman" w:eastAsia="宋体"/>
          <w:sz w:val="24"/>
        </w:rPr>
        <w:t>（即每个极大子群都是幂零群的非幂零群）</w:t>
      </w:r>
      <w:r>
        <w:rPr>
          <w:rFonts w:ascii="Times New Roman" w:eastAsia="宋体"/>
          <w:sz w:val="24"/>
        </w:rPr>
        <w:t>的结构</w:t>
      </w:r>
      <w:r>
        <w:rPr>
          <w:rFonts w:hint="eastAsia" w:ascii="Times New Roman" w:eastAsia="宋体"/>
          <w:sz w:val="24"/>
        </w:rPr>
        <w:t>。首先研究了极大子群（二极大子群）是</w:t>
      </w:r>
      <w:r>
        <w:rPr>
          <w:rFonts w:ascii="Times New Roman" w:eastAsia="宋体"/>
          <w:sz w:val="24"/>
        </w:rPr>
        <w:t>QTI-子群的有限群的结构</w:t>
      </w:r>
      <w:r>
        <w:rPr>
          <w:rFonts w:hint="eastAsia" w:ascii="Times New Roman" w:eastAsia="宋体"/>
          <w:sz w:val="24"/>
        </w:rPr>
        <w:t>，接着研究了非幂零极大子群是</w:t>
      </w:r>
      <w:r>
        <w:rPr>
          <w:rFonts w:ascii="Times New Roman" w:eastAsia="宋体"/>
          <w:sz w:val="24"/>
        </w:rPr>
        <w:t>QTI-子群的有限群的结构</w:t>
      </w:r>
      <w:r>
        <w:rPr>
          <w:rFonts w:hint="eastAsia" w:ascii="Times New Roman" w:eastAsia="宋体"/>
          <w:sz w:val="24"/>
        </w:rPr>
        <w:t>，</w:t>
      </w:r>
      <w:r>
        <w:rPr>
          <w:rFonts w:ascii="Times New Roman" w:eastAsia="宋体"/>
          <w:sz w:val="24"/>
        </w:rPr>
        <w:t>得到了Schmidt定理的若干推广</w:t>
      </w:r>
      <w:r>
        <w:rPr>
          <w:rFonts w:hint="eastAsia" w:ascii="Times New Roman" w:eastAsia="宋体"/>
          <w:sz w:val="24"/>
        </w:rPr>
        <w:t>。同时，首次使用有限群</w:t>
      </w:r>
      <w:r>
        <w:rPr>
          <w:rFonts w:hint="eastAsia" w:ascii="Times New Roman" w:eastAsia="宋体"/>
          <w:i/>
          <w:sz w:val="24"/>
        </w:rPr>
        <w:t>G</w:t>
      </w:r>
      <w:r>
        <w:rPr>
          <w:rFonts w:hint="eastAsia" w:ascii="Times New Roman" w:eastAsia="宋体"/>
          <w:sz w:val="24"/>
        </w:rPr>
        <w:t>的素因子个数的函数作为约束条件，研究了非幂零子群、非正规子群（非次正规子群）的共轭类个数对有限群可解性的影响，得到</w:t>
      </w:r>
      <w:r>
        <w:rPr>
          <w:rFonts w:ascii="Times New Roman" w:eastAsia="宋体"/>
          <w:sz w:val="24"/>
        </w:rPr>
        <w:t>可解群的</w:t>
      </w:r>
      <w:r>
        <w:rPr>
          <w:rFonts w:hint="eastAsia" w:ascii="Times New Roman" w:eastAsia="宋体"/>
          <w:sz w:val="24"/>
        </w:rPr>
        <w:t xml:space="preserve">若干新的判定结论，揭示了非幂零子群、非正规子群等特殊子群的数量性质与有限群的可解性之间的联系。相关结果被Commun. Math. Stat., </w:t>
      </w:r>
      <w:r>
        <w:rPr>
          <w:rFonts w:ascii="Times New Roman" w:eastAsia="宋体"/>
          <w:sz w:val="24"/>
        </w:rPr>
        <w:t>Math</w:t>
      </w:r>
      <w:r>
        <w:rPr>
          <w:rFonts w:hint="eastAsia" w:ascii="Times New Roman" w:eastAsia="宋体"/>
          <w:sz w:val="24"/>
        </w:rPr>
        <w:t xml:space="preserve">. </w:t>
      </w:r>
      <w:r>
        <w:rPr>
          <w:rFonts w:ascii="Times New Roman" w:eastAsia="宋体"/>
          <w:sz w:val="24"/>
        </w:rPr>
        <w:t>Notes,</w:t>
      </w:r>
      <w:r>
        <w:rPr>
          <w:rFonts w:hint="eastAsia" w:ascii="CMSL8" w:hAnsi="Times New Roman" w:eastAsia="CMSL8" w:cs="CMSL8"/>
          <w:kern w:val="0"/>
          <w:sz w:val="20"/>
          <w:szCs w:val="20"/>
        </w:rPr>
        <w:t xml:space="preserve"> </w:t>
      </w:r>
      <w:r>
        <w:rPr>
          <w:rFonts w:ascii="Times New Roman" w:eastAsia="宋体"/>
          <w:sz w:val="24"/>
        </w:rPr>
        <w:t>J. Algebra</w:t>
      </w:r>
      <w:r>
        <w:rPr>
          <w:rFonts w:hint="eastAsia" w:ascii="Times New Roman" w:eastAsia="宋体"/>
          <w:sz w:val="24"/>
        </w:rPr>
        <w:t xml:space="preserve">等著名杂志正面引用。特别地，其中两篇文章被白俄罗斯戈梅利州立大学著名群论大家A. </w:t>
      </w:r>
      <w:r>
        <w:rPr>
          <w:rFonts w:ascii="Times New Roman" w:eastAsia="宋体"/>
          <w:sz w:val="24"/>
        </w:rPr>
        <w:t>N. </w:t>
      </w:r>
      <w:r>
        <w:rPr>
          <w:rFonts w:hint="eastAsia" w:ascii="Times New Roman" w:eastAsia="宋体"/>
          <w:sz w:val="24"/>
        </w:rPr>
        <w:t>S</w:t>
      </w:r>
      <w:r>
        <w:rPr>
          <w:rFonts w:ascii="Times New Roman" w:eastAsia="宋体"/>
          <w:sz w:val="24"/>
        </w:rPr>
        <w:t>kiba在其一篇综述性文章中引用</w:t>
      </w:r>
      <w:r>
        <w:rPr>
          <w:rFonts w:hint="eastAsia" w:ascii="Times New Roman" w:eastAsia="宋体"/>
          <w:sz w:val="24"/>
        </w:rPr>
        <w:t>，我们提出的一个问题引起德国</w:t>
      </w:r>
      <w:r>
        <w:rPr>
          <w:rFonts w:ascii="Times New Roman" w:eastAsia="宋体"/>
          <w:sz w:val="24"/>
        </w:rPr>
        <w:t>伍兹堡</w:t>
      </w:r>
      <w:r>
        <w:rPr>
          <w:rFonts w:hint="eastAsia" w:ascii="Times New Roman" w:eastAsia="宋体"/>
          <w:sz w:val="24"/>
        </w:rPr>
        <w:t>大学</w:t>
      </w:r>
      <w:r>
        <w:rPr>
          <w:rFonts w:ascii="Times New Roman" w:eastAsia="宋体"/>
          <w:sz w:val="24"/>
        </w:rPr>
        <w:t>R</w:t>
      </w:r>
      <w:r>
        <w:rPr>
          <w:rFonts w:hint="eastAsia" w:ascii="Times New Roman" w:eastAsia="宋体"/>
          <w:sz w:val="24"/>
        </w:rPr>
        <w:t xml:space="preserve">. </w:t>
      </w:r>
      <w:r>
        <w:rPr>
          <w:rFonts w:ascii="Times New Roman" w:eastAsia="宋体"/>
          <w:sz w:val="24"/>
        </w:rPr>
        <w:t>Brandl</w:t>
      </w:r>
      <w:r>
        <w:rPr>
          <w:rFonts w:hint="eastAsia" w:ascii="Times New Roman" w:eastAsia="宋体"/>
          <w:sz w:val="24"/>
        </w:rPr>
        <w:t>教授注意被解决。</w:t>
      </w:r>
    </w:p>
    <w:p>
      <w:pPr>
        <w:autoSpaceDE w:val="0"/>
        <w:autoSpaceDN w:val="0"/>
        <w:adjustRightInd w:val="0"/>
        <w:ind w:firstLine="482" w:firstLineChars="200"/>
        <w:jc w:val="left"/>
        <w:rPr>
          <w:rFonts w:ascii="Times New Roman" w:hAnsi="Times New Roman" w:cs="Times New Roman"/>
          <w:b/>
          <w:sz w:val="24"/>
        </w:rPr>
      </w:pPr>
      <w:r>
        <w:rPr>
          <w:rFonts w:hint="eastAsia" w:ascii="Times New Roman" w:hAnsi="Times New Roman" w:cs="Times New Roman"/>
          <w:b/>
          <w:sz w:val="24"/>
        </w:rPr>
        <w:t>3.较为系统地研究了单项特征标次数对可解群结构的影响，丰富了可解群的特征标理论。</w:t>
      </w:r>
    </w:p>
    <w:p>
      <w:pPr>
        <w:autoSpaceDE w:val="0"/>
        <w:autoSpaceDN w:val="0"/>
        <w:adjustRightInd w:val="0"/>
        <w:ind w:firstLine="360" w:firstLineChars="150"/>
        <w:jc w:val="left"/>
        <w:rPr>
          <w:rFonts w:ascii="CMR9" w:hAnsi="CMR9" w:eastAsia="宋体" w:cs="CMR9"/>
          <w:kern w:val="0"/>
          <w:sz w:val="20"/>
          <w:szCs w:val="20"/>
        </w:rPr>
      </w:pPr>
      <w:r>
        <w:rPr>
          <w:rFonts w:hint="eastAsia" w:ascii="Times New Roman" w:hAnsi="Times New Roman" w:cs="Times New Roman"/>
          <w:sz w:val="24"/>
        </w:rPr>
        <w:t>单项</w:t>
      </w:r>
      <w:r>
        <w:rPr>
          <w:rFonts w:hint="eastAsia" w:ascii="Times New Roman" w:eastAsia="宋体"/>
          <w:sz w:val="24"/>
        </w:rPr>
        <w:t>特征标可以由子群的线性特征标诱导，而可解群可以嵌入到M-群中(每个不可约特征标都是单项特征标的有限群). 因此，可解群具有很多单项特征标，单项特征标对可解群有很强的影响。项目组较为系统地研究了单项特征标次数对可解群结构的影响，得到了可解群结构的一系列描述，特别地给出了可解群版的</w:t>
      </w:r>
      <w:r>
        <w:rPr>
          <w:rFonts w:ascii="Times New Roman" w:eastAsia="宋体"/>
          <w:sz w:val="24"/>
        </w:rPr>
        <w:t>Thompson</w:t>
      </w:r>
      <w:r>
        <w:rPr>
          <w:rFonts w:hint="eastAsia" w:ascii="Times New Roman" w:eastAsia="宋体"/>
          <w:sz w:val="24"/>
        </w:rPr>
        <w:t>定理和</w:t>
      </w:r>
      <w:r>
        <w:rPr>
          <w:rFonts w:ascii="Times New Roman" w:eastAsia="宋体"/>
          <w:sz w:val="24"/>
        </w:rPr>
        <w:t>Ito</w:t>
      </w:r>
      <w:r>
        <w:rPr>
          <w:rFonts w:hint="eastAsia" w:ascii="Times New Roman" w:eastAsia="宋体"/>
          <w:sz w:val="24"/>
        </w:rPr>
        <w:t>-</w:t>
      </w:r>
      <w:r>
        <w:rPr>
          <w:rFonts w:ascii="Times New Roman" w:eastAsia="宋体"/>
          <w:sz w:val="24"/>
        </w:rPr>
        <w:t xml:space="preserve"> Michiler</w:t>
      </w:r>
      <w:r>
        <w:rPr>
          <w:rFonts w:hint="eastAsia" w:ascii="Times New Roman" w:eastAsia="宋体"/>
          <w:sz w:val="24"/>
        </w:rPr>
        <w:t>定理，极大丰富了可解群的特征标理论。相关结果被美国表示论专家</w:t>
      </w:r>
      <w:r>
        <w:rPr>
          <w:rFonts w:ascii="Times New Roman" w:eastAsia="宋体"/>
          <w:sz w:val="24"/>
        </w:rPr>
        <w:t>M</w:t>
      </w:r>
      <w:r>
        <w:rPr>
          <w:rFonts w:hint="eastAsia" w:ascii="Times New Roman" w:eastAsia="宋体"/>
          <w:sz w:val="24"/>
        </w:rPr>
        <w:t>.</w:t>
      </w:r>
      <w:r>
        <w:rPr>
          <w:rFonts w:ascii="Times New Roman" w:eastAsia="宋体"/>
          <w:sz w:val="24"/>
        </w:rPr>
        <w:t xml:space="preserve"> L</w:t>
      </w:r>
      <w:r>
        <w:rPr>
          <w:rFonts w:hint="eastAsia" w:ascii="Times New Roman" w:eastAsia="宋体"/>
          <w:sz w:val="24"/>
        </w:rPr>
        <w:t>.</w:t>
      </w:r>
      <w:r>
        <w:rPr>
          <w:rFonts w:ascii="Times New Roman" w:eastAsia="宋体"/>
          <w:sz w:val="24"/>
        </w:rPr>
        <w:t xml:space="preserve"> Lewis</w:t>
      </w:r>
      <w:r>
        <w:rPr>
          <w:rFonts w:hint="eastAsia" w:ascii="Times New Roman" w:eastAsia="宋体"/>
          <w:sz w:val="24"/>
        </w:rPr>
        <w:t>和土耳其青年学者</w:t>
      </w:r>
      <w:r>
        <w:rPr>
          <w:rFonts w:ascii="Times New Roman" w:eastAsia="宋体"/>
          <w:sz w:val="24"/>
        </w:rPr>
        <w:t>Burcu</w:t>
      </w:r>
      <w:r>
        <w:rPr>
          <w:rFonts w:hint="eastAsia" w:ascii="Times New Roman" w:eastAsia="宋体"/>
          <w:sz w:val="24"/>
        </w:rPr>
        <w:t>所关注和引用。</w:t>
      </w:r>
    </w:p>
    <w:p>
      <w:pPr>
        <w:adjustRightInd w:val="0"/>
        <w:snapToGrid w:val="0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该项目</w:t>
      </w:r>
      <w:r>
        <w:rPr>
          <w:rFonts w:hint="eastAsia" w:ascii="Times New Roman" w:hAnsi="Times New Roman"/>
          <w:sz w:val="24"/>
        </w:rPr>
        <w:t>由</w:t>
      </w:r>
      <w:r>
        <w:rPr>
          <w:rFonts w:ascii="Times New Roman" w:hAnsi="Times New Roman" w:eastAsia="宋体" w:cs="Times New Roman"/>
          <w:sz w:val="24"/>
        </w:rPr>
        <w:t>国家自然科学基金</w:t>
      </w:r>
      <w:r>
        <w:rPr>
          <w:rFonts w:hint="eastAsia" w:ascii="Times New Roman" w:hAnsi="Times New Roman"/>
          <w:sz w:val="24"/>
        </w:rPr>
        <w:t>项目5</w:t>
      </w:r>
      <w:r>
        <w:rPr>
          <w:rFonts w:hint="eastAsia" w:ascii="Times New Roman" w:hAnsi="Times New Roman" w:eastAsia="宋体" w:cs="Times New Roman"/>
          <w:sz w:val="24"/>
        </w:rPr>
        <w:t>项，广西自然科学基金</w:t>
      </w:r>
      <w:r>
        <w:rPr>
          <w:rFonts w:hint="eastAsia" w:ascii="Times New Roman" w:hAnsi="Times New Roman"/>
          <w:sz w:val="24"/>
        </w:rPr>
        <w:t>项目3</w:t>
      </w:r>
      <w:r>
        <w:rPr>
          <w:rFonts w:hint="eastAsia" w:ascii="Times New Roman" w:hAnsi="Times New Roman" w:eastAsia="宋体" w:cs="Times New Roman"/>
          <w:sz w:val="24"/>
        </w:rPr>
        <w:t>项</w:t>
      </w:r>
      <w:r>
        <w:rPr>
          <w:rFonts w:hint="eastAsia" w:ascii="Times New Roman" w:hAnsi="Times New Roman"/>
          <w:sz w:val="24"/>
        </w:rPr>
        <w:t>支撑</w:t>
      </w:r>
      <w:r>
        <w:rPr>
          <w:rFonts w:hint="eastAsia" w:ascii="Times New Roman" w:hAnsi="Times New Roman" w:eastAsia="宋体" w:cs="Times New Roman"/>
          <w:sz w:val="24"/>
        </w:rPr>
        <w:t>。项目研究历时7年多，发表学术论文50多篇，培养硕士研究生30多名。</w:t>
      </w:r>
      <w:r>
        <w:rPr>
          <w:rFonts w:ascii="Times New Roman" w:hAnsi="Times New Roman" w:eastAsia="宋体" w:cs="Times New Roman"/>
          <w:sz w:val="24"/>
        </w:rPr>
        <w:t>研究成果已</w:t>
      </w:r>
      <w:r>
        <w:rPr>
          <w:rFonts w:hint="eastAsia" w:ascii="Times New Roman" w:hAnsi="Calibri" w:eastAsia="宋体" w:cs="Times New Roman"/>
          <w:sz w:val="24"/>
        </w:rPr>
        <w:t>得到了国内外同行专家的高度评价与认可,</w:t>
      </w:r>
      <w:r>
        <w:rPr>
          <w:rFonts w:ascii="Times New Roman" w:hAnsi="Times New Roman" w:eastAsia="宋体" w:cs="Times New Roman"/>
          <w:sz w:val="24"/>
        </w:rPr>
        <w:t xml:space="preserve"> 在国际上产生了广泛影响</w:t>
      </w:r>
      <w:r>
        <w:rPr>
          <w:rFonts w:hint="eastAsia" w:ascii="Times New Roman"/>
          <w:sz w:val="24"/>
        </w:rPr>
        <w:t>。</w:t>
      </w:r>
    </w:p>
    <w:p>
      <w:pPr>
        <w:adjustRightInd w:val="0"/>
        <w:snapToGrid w:val="0"/>
        <w:ind w:firstLine="480" w:firstLineChars="200"/>
        <w:rPr>
          <w:rFonts w:ascii="Times New Roman" w:hAnsi="Times New Roman" w:cs="Times New Roman"/>
          <w:sz w:val="24"/>
        </w:rPr>
      </w:pPr>
    </w:p>
    <w:p>
      <w:pPr>
        <w:adjustRightInd w:val="0"/>
        <w:snapToGrid w:val="0"/>
        <w:ind w:firstLine="480" w:firstLineChars="200"/>
        <w:rPr>
          <w:rFonts w:ascii="Times New Roman" w:hAnsi="Times New Roman" w:cs="Times New Roman"/>
          <w:sz w:val="24"/>
        </w:rPr>
      </w:pPr>
    </w:p>
    <w:p>
      <w:pPr>
        <w:adjustRightInd w:val="0"/>
        <w:snapToGrid w:val="0"/>
        <w:ind w:firstLine="480" w:firstLineChars="200"/>
        <w:rPr>
          <w:rFonts w:ascii="Times New Roman" w:hAnsi="Times New Roman" w:cs="Times New Roman"/>
          <w:sz w:val="24"/>
        </w:rPr>
      </w:pPr>
    </w:p>
    <w:p>
      <w:pPr>
        <w:adjustRightInd w:val="0"/>
        <w:snapToGrid w:val="0"/>
        <w:ind w:firstLine="480" w:firstLineChars="200"/>
        <w:rPr>
          <w:rFonts w:ascii="Times New Roman" w:hAnsi="Times New Roman" w:cs="Times New Roman"/>
          <w:sz w:val="24"/>
        </w:rPr>
      </w:pPr>
    </w:p>
    <w:p>
      <w:pPr>
        <w:adjustRightInd w:val="0"/>
        <w:snapToGrid w:val="0"/>
        <w:ind w:firstLine="482" w:firstLineChars="200"/>
        <w:rPr>
          <w:rFonts w:ascii="Times New Roman" w:eastAsia="黑体"/>
          <w:b/>
          <w:sz w:val="24"/>
        </w:rPr>
      </w:pPr>
      <w:r>
        <w:rPr>
          <w:rFonts w:ascii="Times New Roman" w:eastAsia="黑体"/>
          <w:b/>
          <w:sz w:val="24"/>
        </w:rPr>
        <w:t>代表性论文（专著）目录（不超过8篇）</w:t>
      </w:r>
    </w:p>
    <w:tbl>
      <w:tblPr>
        <w:tblStyle w:val="7"/>
        <w:tblW w:w="946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546"/>
        <w:gridCol w:w="1054"/>
        <w:gridCol w:w="779"/>
        <w:gridCol w:w="953"/>
        <w:gridCol w:w="820"/>
        <w:gridCol w:w="939"/>
        <w:gridCol w:w="773"/>
        <w:gridCol w:w="465"/>
        <w:gridCol w:w="516"/>
        <w:gridCol w:w="736"/>
        <w:gridCol w:w="778"/>
        <w:gridCol w:w="50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602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bookmarkStart w:id="2" w:name="_Toc70090875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排序</w:t>
            </w:r>
            <w:bookmarkEnd w:id="2"/>
          </w:p>
        </w:tc>
        <w:tc>
          <w:tcPr>
            <w:tcW w:w="54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类型</w:t>
            </w:r>
          </w:p>
        </w:tc>
        <w:tc>
          <w:tcPr>
            <w:tcW w:w="105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论文专著名称</w:t>
            </w:r>
          </w:p>
        </w:tc>
        <w:tc>
          <w:tcPr>
            <w:tcW w:w="77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bookmarkStart w:id="3" w:name="_Toc70090878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年卷页</w:t>
            </w:r>
            <w:bookmarkEnd w:id="3"/>
            <w:bookmarkStart w:id="4" w:name="_Toc70090879"/>
            <w:bookmarkEnd w:id="4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（</w:t>
            </w:r>
            <w:bookmarkStart w:id="5" w:name="_Toc70090880"/>
            <w:bookmarkEnd w:id="5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版号）</w:t>
            </w:r>
          </w:p>
        </w:tc>
        <w:tc>
          <w:tcPr>
            <w:tcW w:w="95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bookmarkStart w:id="6" w:name="_Toc72832406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发表日期</w:t>
            </w:r>
            <w:bookmarkEnd w:id="6"/>
          </w:p>
        </w:tc>
        <w:tc>
          <w:tcPr>
            <w:tcW w:w="82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bookmarkStart w:id="7" w:name="_Toc70090886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作者</w:t>
            </w:r>
            <w:bookmarkEnd w:id="7"/>
          </w:p>
        </w:tc>
        <w:tc>
          <w:tcPr>
            <w:tcW w:w="93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bookmarkStart w:id="8" w:name="_Toc72832412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署名单位</w:t>
            </w:r>
            <w:bookmarkEnd w:id="8"/>
          </w:p>
        </w:tc>
        <w:tc>
          <w:tcPr>
            <w:tcW w:w="77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bookmarkStart w:id="9" w:name="_Toc70090889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刊名</w:t>
            </w:r>
            <w:bookmarkEnd w:id="9"/>
          </w:p>
        </w:tc>
        <w:tc>
          <w:tcPr>
            <w:tcW w:w="46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通讯作者</w:t>
            </w:r>
          </w:p>
        </w:tc>
        <w:tc>
          <w:tcPr>
            <w:tcW w:w="51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他引次数</w:t>
            </w:r>
          </w:p>
        </w:tc>
        <w:tc>
          <w:tcPr>
            <w:tcW w:w="73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bookmarkStart w:id="10" w:name="_Toc70090890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检索数据库</w:t>
            </w:r>
            <w:bookmarkEnd w:id="10"/>
          </w:p>
        </w:tc>
        <w:tc>
          <w:tcPr>
            <w:tcW w:w="77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广西单位是否署名</w:t>
            </w:r>
          </w:p>
        </w:tc>
        <w:tc>
          <w:tcPr>
            <w:tcW w:w="50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附件</w:t>
            </w:r>
            <w:bookmarkStart w:id="11" w:name="_Toc70090891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编号</w:t>
            </w:r>
            <w:bookmarkEnd w:id="11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Finite groups all of whose second maximal subgroups are QTI-subgroups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2012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，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40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: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3726-3732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2012/09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卢家宽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/郭秀云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上海大学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Commu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n.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Algebra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郭秀云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SCIE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SS-supplemented subgroups of finite groups and their properties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2012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：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54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，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481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-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491.</w:t>
            </w:r>
          </w:p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2012/12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郭秀云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/卢家宽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上海大学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/广西师范大学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Glasgow Math. J.</w:t>
            </w:r>
          </w:p>
          <w:p>
            <w:pPr>
              <w:adjustRightInd w:val="0"/>
              <w:snapToGrid w:val="0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郭秀云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SCIE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Finite groups with non-nilpotent maximal subgroups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2013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，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171:425–431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2013/07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卢家宽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/庞琳娜/钟祥贵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广西师范大学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Monatsh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.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 xml:space="preserve"> Math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卢家宽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SCIE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Lower bounds on conjugacy classes of non-nilpotent subgroups in a finite group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2015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,14,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1550039 (5 pages)</w:t>
            </w:r>
          </w:p>
          <w:p>
            <w:pPr>
              <w:adjustRightInd w:val="0"/>
              <w:snapToGrid w:val="0"/>
              <w:jc w:val="left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2015/10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孟伟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/卢家宽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云南民族大学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/广西师范大学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J. Algebra Appl.</w:t>
            </w:r>
          </w:p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孟伟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SCIE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On Solvability of Finite Groups with Few Non-Normal</w:t>
            </w:r>
          </w:p>
          <w:p>
            <w:pPr>
              <w:adjustRightInd w:val="0"/>
              <w:snapToGrid w:val="0"/>
              <w:jc w:val="left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Subgroups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2015，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43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：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1752-1756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2015/03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卢家宽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/孟伟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广西师范大学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/云南民族大学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Commu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n.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Algebra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卢家宽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SCIE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On finite groups with non subnormal subgroups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2017,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 xml:space="preserve"> 45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: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2043-2046,</w:t>
            </w:r>
          </w:p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2017/10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卢家宽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/孟伟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广西师范大学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/云南民族大学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Commu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n.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Algebra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卢家宽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SCIE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Finite groups and degrees of irreducible monomial characters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2016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，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15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：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1650073 (4 p)</w:t>
            </w:r>
          </w:p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2016/05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庞琳娜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/卢家宽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广西师范大学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J. Algebra Appl.</w:t>
            </w:r>
          </w:p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卢家宽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SCIE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Finite groups and degrees of irreducible monomial characters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 xml:space="preserve"> II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201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7，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6：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1750231 (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5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 xml:space="preserve"> p)</w:t>
            </w:r>
          </w:p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2017/06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庞琳娜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/卢家宽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广西师范大学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J. Algebra Appl.</w:t>
            </w:r>
          </w:p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卢家宽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SCIE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931" w:type="dxa"/>
            <w:gridSpan w:val="9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/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/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/</w:t>
            </w:r>
          </w:p>
        </w:tc>
      </w:tr>
    </w:tbl>
    <w:p>
      <w:pPr>
        <w:spacing w:line="360" w:lineRule="auto"/>
        <w:rPr>
          <w:rFonts w:ascii="Times New Roman" w:eastAsia="黑体"/>
          <w:b/>
          <w:sz w:val="24"/>
        </w:rPr>
      </w:pPr>
      <w:r>
        <w:rPr>
          <w:rFonts w:hint="eastAsia" w:ascii="Times New Roman" w:eastAsia="黑体"/>
          <w:b/>
          <w:sz w:val="24"/>
        </w:rPr>
        <w:t>五、</w:t>
      </w:r>
      <w:r>
        <w:rPr>
          <w:rFonts w:ascii="Times New Roman" w:eastAsia="黑体"/>
          <w:b/>
          <w:sz w:val="24"/>
        </w:rPr>
        <w:t xml:space="preserve"> </w:t>
      </w:r>
      <w:r>
        <w:rPr>
          <w:rFonts w:hint="eastAsia" w:ascii="Times New Roman" w:eastAsia="黑体"/>
          <w:b/>
          <w:sz w:val="24"/>
        </w:rPr>
        <w:t>候选人姓名</w:t>
      </w:r>
    </w:p>
    <w:p>
      <w:pPr>
        <w:spacing w:line="360" w:lineRule="auto"/>
        <w:rPr>
          <w:rFonts w:ascii="Times New Roman" w:hAnsi="Calibri" w:eastAsia="宋体" w:cs="Times New Roman"/>
          <w:sz w:val="24"/>
        </w:rPr>
      </w:pPr>
      <w:r>
        <w:rPr>
          <w:rFonts w:hint="eastAsia" w:ascii="Times New Roman" w:hAnsi="Calibri" w:eastAsia="宋体" w:cs="Times New Roman"/>
          <w:sz w:val="24"/>
        </w:rPr>
        <w:t>卢家宽、郭秀云、孟伟、庞琳娜、钟祥贵</w:t>
      </w:r>
    </w:p>
    <w:p>
      <w:pPr>
        <w:spacing w:line="360" w:lineRule="auto"/>
        <w:rPr>
          <w:rFonts w:ascii="Times New Roman" w:eastAsia="黑体"/>
          <w:b/>
          <w:sz w:val="24"/>
        </w:rPr>
      </w:pPr>
      <w:r>
        <w:rPr>
          <w:rFonts w:hint="eastAsia" w:ascii="Times New Roman" w:eastAsia="黑体"/>
          <w:b/>
          <w:sz w:val="24"/>
        </w:rPr>
        <w:t>六、候选单位名称</w:t>
      </w:r>
    </w:p>
    <w:p>
      <w:pPr>
        <w:autoSpaceDE w:val="0"/>
        <w:autoSpaceDN w:val="0"/>
        <w:adjustRightInd w:val="0"/>
        <w:snapToGrid w:val="0"/>
        <w:spacing w:beforeLines="50" w:line="312" w:lineRule="auto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广西师范大学</w:t>
      </w:r>
      <w:r>
        <w:rPr>
          <w:rFonts w:hint="eastAsia" w:ascii="宋体" w:hAnsi="宋体" w:eastAsia="宋体" w:cs="宋体"/>
          <w:sz w:val="24"/>
        </w:rPr>
        <w:t>、</w:t>
      </w:r>
      <w:r>
        <w:rPr>
          <w:rFonts w:ascii="宋体" w:hAnsi="宋体" w:eastAsia="宋体" w:cs="宋体"/>
          <w:sz w:val="24"/>
        </w:rPr>
        <w:t>上海大学</w:t>
      </w:r>
      <w:r>
        <w:rPr>
          <w:rFonts w:hint="eastAsia" w:ascii="宋体" w:hAnsi="宋体" w:eastAsia="宋体" w:cs="宋体"/>
          <w:sz w:val="24"/>
        </w:rPr>
        <w:t>、</w:t>
      </w:r>
      <w:r>
        <w:rPr>
          <w:rFonts w:ascii="宋体" w:hAnsi="宋体" w:eastAsia="宋体" w:cs="宋体"/>
          <w:sz w:val="24"/>
        </w:rPr>
        <w:t>云南民族大学</w:t>
      </w:r>
    </w:p>
    <w:p>
      <w:pPr>
        <w:autoSpaceDE w:val="0"/>
        <w:autoSpaceDN w:val="0"/>
        <w:adjustRightInd w:val="0"/>
        <w:snapToGrid w:val="0"/>
        <w:spacing w:beforeLines="50" w:line="312" w:lineRule="auto"/>
        <w:ind w:firstLine="480" w:firstLineChars="200"/>
        <w:rPr>
          <w:rFonts w:eastAsia="仿宋"/>
          <w:kern w:val="0"/>
          <w:sz w:val="24"/>
        </w:rPr>
      </w:pPr>
    </w:p>
    <w:p>
      <w:r>
        <w:rPr>
          <w:rFonts w:hint="eastAsia" w:eastAsia="仿宋"/>
          <w:kern w:val="0"/>
          <w:sz w:val="24"/>
        </w:rPr>
        <w:t xml:space="preserve"> </w:t>
      </w:r>
    </w:p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MSL8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MR9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85FFD2"/>
    <w:multiLevelType w:val="singleLevel"/>
    <w:tmpl w:val="8885FFD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U1Y2RkOTI0ZDVhNDZhMDE1YzJhNzUzNTUyYzg3MmMifQ=="/>
  </w:docVars>
  <w:rsids>
    <w:rsidRoot w:val="4DD264DD"/>
    <w:rsid w:val="000209FE"/>
    <w:rsid w:val="00035F49"/>
    <w:rsid w:val="000451B7"/>
    <w:rsid w:val="000A5E26"/>
    <w:rsid w:val="00117272"/>
    <w:rsid w:val="001424E0"/>
    <w:rsid w:val="001636AF"/>
    <w:rsid w:val="00176944"/>
    <w:rsid w:val="00181872"/>
    <w:rsid w:val="001F1769"/>
    <w:rsid w:val="001F29DF"/>
    <w:rsid w:val="00227804"/>
    <w:rsid w:val="002323D4"/>
    <w:rsid w:val="002B00B5"/>
    <w:rsid w:val="002F786B"/>
    <w:rsid w:val="002F7F7D"/>
    <w:rsid w:val="00324320"/>
    <w:rsid w:val="003840E5"/>
    <w:rsid w:val="004140F5"/>
    <w:rsid w:val="00485375"/>
    <w:rsid w:val="004D5442"/>
    <w:rsid w:val="005025D4"/>
    <w:rsid w:val="00531EDC"/>
    <w:rsid w:val="0054621E"/>
    <w:rsid w:val="0056389B"/>
    <w:rsid w:val="00571D60"/>
    <w:rsid w:val="0057483B"/>
    <w:rsid w:val="00585E4B"/>
    <w:rsid w:val="005F78A7"/>
    <w:rsid w:val="00622095"/>
    <w:rsid w:val="00631176"/>
    <w:rsid w:val="0065483F"/>
    <w:rsid w:val="00693239"/>
    <w:rsid w:val="00694B3D"/>
    <w:rsid w:val="00773C78"/>
    <w:rsid w:val="00785A39"/>
    <w:rsid w:val="00787B77"/>
    <w:rsid w:val="007F7BCD"/>
    <w:rsid w:val="0080576D"/>
    <w:rsid w:val="00811936"/>
    <w:rsid w:val="008210C0"/>
    <w:rsid w:val="0083768A"/>
    <w:rsid w:val="00842051"/>
    <w:rsid w:val="0089503E"/>
    <w:rsid w:val="008A3468"/>
    <w:rsid w:val="008B58F2"/>
    <w:rsid w:val="00910D1B"/>
    <w:rsid w:val="009904C6"/>
    <w:rsid w:val="009A0486"/>
    <w:rsid w:val="009D1FC4"/>
    <w:rsid w:val="009F7D51"/>
    <w:rsid w:val="00A17E5E"/>
    <w:rsid w:val="00A23D92"/>
    <w:rsid w:val="00A53172"/>
    <w:rsid w:val="00A95FAF"/>
    <w:rsid w:val="00AA3990"/>
    <w:rsid w:val="00AE205E"/>
    <w:rsid w:val="00AF3127"/>
    <w:rsid w:val="00B149BA"/>
    <w:rsid w:val="00BA18A0"/>
    <w:rsid w:val="00BA773C"/>
    <w:rsid w:val="00BE6917"/>
    <w:rsid w:val="00C365F4"/>
    <w:rsid w:val="00C93050"/>
    <w:rsid w:val="00D00145"/>
    <w:rsid w:val="00D05623"/>
    <w:rsid w:val="00D42C19"/>
    <w:rsid w:val="00D55D71"/>
    <w:rsid w:val="00DB3936"/>
    <w:rsid w:val="00DD5D05"/>
    <w:rsid w:val="00DF149D"/>
    <w:rsid w:val="00E10D1E"/>
    <w:rsid w:val="00E471CE"/>
    <w:rsid w:val="00F46EB9"/>
    <w:rsid w:val="00F963C9"/>
    <w:rsid w:val="00FB29A6"/>
    <w:rsid w:val="00FB572F"/>
    <w:rsid w:val="00FB7309"/>
    <w:rsid w:val="00FC4926"/>
    <w:rsid w:val="039C744C"/>
    <w:rsid w:val="04AC3F9B"/>
    <w:rsid w:val="063A1D84"/>
    <w:rsid w:val="07DC7F5D"/>
    <w:rsid w:val="0E5011DB"/>
    <w:rsid w:val="118F73BD"/>
    <w:rsid w:val="12E106A8"/>
    <w:rsid w:val="1846583E"/>
    <w:rsid w:val="184C3B0E"/>
    <w:rsid w:val="1AAF4592"/>
    <w:rsid w:val="1B5B0D00"/>
    <w:rsid w:val="1E2945F3"/>
    <w:rsid w:val="1FCE5B03"/>
    <w:rsid w:val="200336C9"/>
    <w:rsid w:val="21CF7850"/>
    <w:rsid w:val="2AFD403A"/>
    <w:rsid w:val="2BEA5201"/>
    <w:rsid w:val="2E937BAF"/>
    <w:rsid w:val="3D5C7B44"/>
    <w:rsid w:val="3F7A24B6"/>
    <w:rsid w:val="40200920"/>
    <w:rsid w:val="44CE0CDE"/>
    <w:rsid w:val="49C2364F"/>
    <w:rsid w:val="4DD264DD"/>
    <w:rsid w:val="543B201B"/>
    <w:rsid w:val="54ED2391"/>
    <w:rsid w:val="555F7705"/>
    <w:rsid w:val="57D04A0C"/>
    <w:rsid w:val="5AD7476A"/>
    <w:rsid w:val="5BFC7C93"/>
    <w:rsid w:val="5DB84FF3"/>
    <w:rsid w:val="5FEC2DAE"/>
    <w:rsid w:val="60A05A85"/>
    <w:rsid w:val="62F433AC"/>
    <w:rsid w:val="62FA7A7A"/>
    <w:rsid w:val="64293540"/>
    <w:rsid w:val="6492182D"/>
    <w:rsid w:val="6D535020"/>
    <w:rsid w:val="6FD721E7"/>
    <w:rsid w:val="73071C95"/>
    <w:rsid w:val="763703FC"/>
    <w:rsid w:val="7D283C84"/>
    <w:rsid w:val="7FCA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eastAsia="宋体"/>
      <w:szCs w:val="21"/>
    </w:r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Cs w:val="32"/>
    </w:rPr>
  </w:style>
  <w:style w:type="character" w:styleId="9">
    <w:name w:val="Hyperlink"/>
    <w:basedOn w:val="8"/>
    <w:unhideWhenUsed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8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List Paragraph"/>
    <w:basedOn w:val="1"/>
    <w:unhideWhenUsed/>
    <w:uiPriority w:val="99"/>
    <w:pPr>
      <w:ind w:firstLine="420" w:firstLineChars="200"/>
    </w:pPr>
  </w:style>
  <w:style w:type="character" w:customStyle="1" w:styleId="13">
    <w:name w:val="标题 3 Char"/>
    <w:basedOn w:val="8"/>
    <w:link w:val="2"/>
    <w:uiPriority w:val="9"/>
    <w:rPr>
      <w:rFonts w:ascii="宋体" w:hAnsi="宋体" w:cs="宋体"/>
      <w:b/>
      <w:bCs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3</Pages>
  <Words>1585</Words>
  <Characters>2348</Characters>
  <Lines>18</Lines>
  <Paragraphs>5</Paragraphs>
  <TotalTime>0</TotalTime>
  <ScaleCrop>false</ScaleCrop>
  <LinksUpToDate>false</LinksUpToDate>
  <CharactersWithSpaces>2443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2018-04-27T02:51:00Z</dcterms:created>
  <dc:creator>amd</dc:creator>
  <cp:lastModifiedBy>Semper</cp:lastModifiedBy>
  <dcterms:modified xsi:type="dcterms:W3CDTF">2022-06-30T08:59:30Z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A60DC1F9C4BB4B7698B39DC045A22205</vt:lpwstr>
  </property>
</Properties>
</file>