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lang w:val="en-US" w:eastAsia="zh-CN"/>
        </w:rPr>
      </w:pPr>
      <w:bookmarkStart w:id="0" w:name="_GoBack"/>
      <w:bookmarkEnd w:id="0"/>
      <w:r>
        <w:rPr>
          <w:rFonts w:hint="eastAsia"/>
          <w:b w:val="0"/>
          <w:bCs w:val="0"/>
          <w:sz w:val="36"/>
          <w:szCs w:val="36"/>
          <w:u w:val="single"/>
          <w:lang w:val="en-US" w:eastAsia="zh-CN"/>
        </w:rPr>
        <w:t xml:space="preserve">           </w:t>
      </w:r>
      <w:r>
        <w:rPr>
          <w:rFonts w:hint="eastAsia"/>
          <w:b/>
          <w:bCs/>
          <w:sz w:val="36"/>
          <w:szCs w:val="36"/>
          <w:u w:val="none"/>
          <w:lang w:val="en-US" w:eastAsia="zh-CN"/>
        </w:rPr>
        <w:t>学院（部）</w:t>
      </w:r>
      <w:r>
        <w:rPr>
          <w:rFonts w:hint="eastAsia"/>
          <w:b/>
          <w:bCs/>
          <w:sz w:val="36"/>
          <w:szCs w:val="36"/>
          <w:lang w:val="en-US" w:eastAsia="zh-CN"/>
        </w:rPr>
        <w:t>实验室安全自查表</w:t>
      </w:r>
    </w:p>
    <w:p>
      <w:pPr>
        <w:jc w:val="left"/>
        <w:rPr>
          <w:rFonts w:hint="eastAsia"/>
          <w:b w:val="0"/>
          <w:bCs w:val="0"/>
          <w:sz w:val="28"/>
          <w:szCs w:val="28"/>
          <w:lang w:val="en-US" w:eastAsia="zh-CN"/>
        </w:rPr>
      </w:pPr>
      <w:r>
        <w:rPr>
          <w:rFonts w:hint="eastAsia"/>
          <w:b w:val="0"/>
          <w:bCs w:val="0"/>
          <w:sz w:val="28"/>
          <w:szCs w:val="28"/>
          <w:lang w:val="en-US" w:eastAsia="zh-CN"/>
        </w:rPr>
        <w:t>实验室名称：</w:t>
      </w:r>
      <w:r>
        <w:rPr>
          <w:rFonts w:hint="eastAsia"/>
          <w:b w:val="0"/>
          <w:bCs w:val="0"/>
          <w:sz w:val="28"/>
          <w:szCs w:val="28"/>
          <w:u w:val="single"/>
          <w:lang w:val="en-US" w:eastAsia="zh-CN"/>
        </w:rPr>
        <w:t xml:space="preserve">                </w:t>
      </w:r>
      <w:r>
        <w:rPr>
          <w:rFonts w:hint="eastAsia"/>
          <w:b w:val="0"/>
          <w:bCs w:val="0"/>
          <w:sz w:val="28"/>
          <w:szCs w:val="28"/>
          <w:u w:val="none"/>
          <w:lang w:val="en-US" w:eastAsia="zh-CN"/>
        </w:rPr>
        <w:t xml:space="preserve">   </w:t>
      </w:r>
      <w:r>
        <w:rPr>
          <w:rFonts w:hint="eastAsia"/>
          <w:b w:val="0"/>
          <w:bCs w:val="0"/>
          <w:sz w:val="28"/>
          <w:szCs w:val="28"/>
          <w:lang w:val="en-US" w:eastAsia="zh-CN"/>
        </w:rPr>
        <w:t xml:space="preserve">地址： </w:t>
      </w:r>
      <w:r>
        <w:rPr>
          <w:rFonts w:hint="eastAsia"/>
          <w:b w:val="0"/>
          <w:bCs w:val="0"/>
          <w:sz w:val="28"/>
          <w:szCs w:val="28"/>
          <w:u w:val="single"/>
          <w:lang w:val="en-US" w:eastAsia="zh-CN"/>
        </w:rPr>
        <w:t xml:space="preserve">           </w:t>
      </w:r>
      <w:r>
        <w:rPr>
          <w:rFonts w:hint="eastAsia"/>
          <w:b w:val="0"/>
          <w:bCs w:val="0"/>
          <w:sz w:val="28"/>
          <w:szCs w:val="28"/>
          <w:lang w:val="en-US" w:eastAsia="zh-CN"/>
        </w:rPr>
        <w:t>楼</w:t>
      </w:r>
      <w:r>
        <w:rPr>
          <w:rFonts w:hint="eastAsia"/>
          <w:b w:val="0"/>
          <w:bCs w:val="0"/>
          <w:sz w:val="28"/>
          <w:szCs w:val="28"/>
          <w:u w:val="single"/>
          <w:lang w:val="en-US" w:eastAsia="zh-CN"/>
        </w:rPr>
        <w:t xml:space="preserve">      </w:t>
      </w:r>
      <w:r>
        <w:rPr>
          <w:rFonts w:hint="eastAsia"/>
          <w:b w:val="0"/>
          <w:bCs w:val="0"/>
          <w:sz w:val="28"/>
          <w:szCs w:val="28"/>
          <w:lang w:val="en-US" w:eastAsia="zh-CN"/>
        </w:rPr>
        <w:t>室</w:t>
      </w:r>
    </w:p>
    <w:p>
      <w:pPr>
        <w:jc w:val="left"/>
        <w:rPr>
          <w:rFonts w:hint="default"/>
          <w:b w:val="0"/>
          <w:bCs w:val="0"/>
          <w:sz w:val="28"/>
          <w:szCs w:val="28"/>
          <w:u w:val="single"/>
          <w:lang w:val="en-US" w:eastAsia="zh-CN"/>
        </w:rPr>
      </w:pPr>
      <w:r>
        <w:rPr>
          <w:rFonts w:hint="eastAsia"/>
          <w:b w:val="0"/>
          <w:bCs w:val="0"/>
          <w:sz w:val="28"/>
          <w:szCs w:val="28"/>
          <w:lang w:val="en-US" w:eastAsia="zh-CN"/>
        </w:rPr>
        <w:t>安全类别级别：</w:t>
      </w:r>
      <w:r>
        <w:rPr>
          <w:rFonts w:hint="eastAsia"/>
          <w:b w:val="0"/>
          <w:bCs w:val="0"/>
          <w:sz w:val="28"/>
          <w:szCs w:val="28"/>
          <w:u w:val="single"/>
          <w:lang w:val="en-US" w:eastAsia="zh-CN"/>
        </w:rPr>
        <w:t xml:space="preserve">       </w:t>
      </w:r>
      <w:r>
        <w:rPr>
          <w:rFonts w:hint="eastAsia"/>
          <w:b w:val="0"/>
          <w:bCs w:val="0"/>
          <w:sz w:val="28"/>
          <w:szCs w:val="28"/>
          <w:lang w:val="en-US" w:eastAsia="zh-CN"/>
        </w:rPr>
        <w:t xml:space="preserve">类 </w:t>
      </w:r>
      <w:r>
        <w:rPr>
          <w:rFonts w:hint="eastAsia"/>
          <w:b w:val="0"/>
          <w:bCs w:val="0"/>
          <w:sz w:val="28"/>
          <w:szCs w:val="28"/>
          <w:u w:val="single"/>
          <w:lang w:val="en-US" w:eastAsia="zh-CN"/>
        </w:rPr>
        <w:t xml:space="preserve">    </w:t>
      </w:r>
      <w:r>
        <w:rPr>
          <w:rFonts w:hint="eastAsia"/>
          <w:b w:val="0"/>
          <w:bCs w:val="0"/>
          <w:sz w:val="28"/>
          <w:szCs w:val="28"/>
          <w:lang w:val="en-US" w:eastAsia="zh-CN"/>
        </w:rPr>
        <w:t>级  安全负责人：</w:t>
      </w:r>
      <w:r>
        <w:rPr>
          <w:rFonts w:hint="eastAsia"/>
          <w:b w:val="0"/>
          <w:bCs w:val="0"/>
          <w:sz w:val="28"/>
          <w:szCs w:val="28"/>
          <w:u w:val="single"/>
          <w:lang w:val="en-US" w:eastAsia="zh-CN"/>
        </w:rPr>
        <w:t xml:space="preserve">                </w:t>
      </w:r>
    </w:p>
    <w:p>
      <w:pPr>
        <w:jc w:val="left"/>
        <w:rPr>
          <w:rFonts w:hint="eastAsia"/>
          <w:b w:val="0"/>
          <w:bCs w:val="0"/>
          <w:sz w:val="28"/>
          <w:szCs w:val="28"/>
          <w:u w:val="single"/>
          <w:lang w:val="en-US" w:eastAsia="zh-CN"/>
        </w:rPr>
      </w:pPr>
      <w:r>
        <w:rPr>
          <w:rFonts w:hint="eastAsia"/>
          <w:b w:val="0"/>
          <w:bCs w:val="0"/>
          <w:sz w:val="28"/>
          <w:szCs w:val="28"/>
          <w:lang w:val="en-US" w:eastAsia="zh-CN"/>
        </w:rPr>
        <w:t>检查人：</w:t>
      </w:r>
      <w:r>
        <w:rPr>
          <w:rFonts w:hint="eastAsia"/>
          <w:b w:val="0"/>
          <w:bCs w:val="0"/>
          <w:sz w:val="28"/>
          <w:szCs w:val="28"/>
          <w:u w:val="single"/>
          <w:lang w:val="en-US" w:eastAsia="zh-CN"/>
        </w:rPr>
        <w:t xml:space="preserve">                              </w:t>
      </w:r>
      <w:r>
        <w:rPr>
          <w:rFonts w:hint="eastAsia"/>
          <w:b w:val="0"/>
          <w:bCs w:val="0"/>
          <w:sz w:val="28"/>
          <w:szCs w:val="28"/>
          <w:lang w:val="en-US" w:eastAsia="zh-CN"/>
        </w:rPr>
        <w:t xml:space="preserve">  检查时间：</w:t>
      </w:r>
      <w:r>
        <w:rPr>
          <w:rFonts w:hint="eastAsia"/>
          <w:b w:val="0"/>
          <w:bCs w:val="0"/>
          <w:sz w:val="28"/>
          <w:szCs w:val="28"/>
          <w:u w:val="single"/>
          <w:lang w:val="en-US" w:eastAsia="zh-CN"/>
        </w:rPr>
        <w:t xml:space="preserve">           </w:t>
      </w:r>
    </w:p>
    <w:tbl>
      <w:tblPr>
        <w:tblStyle w:val="3"/>
        <w:tblW w:w="95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4950"/>
        <w:gridCol w:w="660"/>
        <w:gridCol w:w="690"/>
        <w:gridCol w:w="2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1" w:type="dxa"/>
            <w:vMerge w:val="restart"/>
            <w:vAlign w:val="center"/>
          </w:tcPr>
          <w:p>
            <w:pPr>
              <w:jc w:val="center"/>
              <w:rPr>
                <w:rFonts w:hint="eastAsia"/>
                <w:b/>
                <w:bCs/>
                <w:sz w:val="21"/>
                <w:szCs w:val="21"/>
                <w:vertAlign w:val="baseline"/>
                <w:lang w:val="en-US" w:eastAsia="zh-CN"/>
              </w:rPr>
            </w:pPr>
            <w:r>
              <w:rPr>
                <w:rFonts w:hint="eastAsia"/>
                <w:b/>
                <w:bCs/>
                <w:sz w:val="21"/>
                <w:szCs w:val="21"/>
                <w:vertAlign w:val="baseline"/>
                <w:lang w:val="en-US" w:eastAsia="zh-CN"/>
              </w:rPr>
              <w:t>检查</w:t>
            </w:r>
          </w:p>
          <w:p>
            <w:pPr>
              <w:jc w:val="center"/>
              <w:rPr>
                <w:rFonts w:hint="eastAsia" w:asciiTheme="minorHAnsi" w:hAnsiTheme="minorHAnsi" w:eastAsiaTheme="minorEastAsia" w:cstheme="minorBidi"/>
                <w:b/>
                <w:bCs/>
                <w:kern w:val="2"/>
                <w:sz w:val="21"/>
                <w:szCs w:val="21"/>
                <w:vertAlign w:val="baseline"/>
                <w:lang w:val="en-US" w:eastAsia="zh-CN" w:bidi="ar-SA"/>
              </w:rPr>
            </w:pPr>
            <w:r>
              <w:rPr>
                <w:rFonts w:hint="eastAsia"/>
                <w:b/>
                <w:bCs/>
                <w:sz w:val="21"/>
                <w:szCs w:val="21"/>
                <w:vertAlign w:val="baseline"/>
                <w:lang w:val="en-US" w:eastAsia="zh-CN"/>
              </w:rPr>
              <w:t>项目</w:t>
            </w:r>
          </w:p>
        </w:tc>
        <w:tc>
          <w:tcPr>
            <w:tcW w:w="4950" w:type="dxa"/>
            <w:vMerge w:val="restart"/>
            <w:vAlign w:val="center"/>
          </w:tcPr>
          <w:p>
            <w:pPr>
              <w:jc w:val="center"/>
              <w:rPr>
                <w:rFonts w:hint="default"/>
                <w:b/>
                <w:bCs/>
                <w:sz w:val="21"/>
                <w:szCs w:val="21"/>
                <w:vertAlign w:val="baseline"/>
                <w:lang w:val="en-US" w:eastAsia="zh-CN"/>
              </w:rPr>
            </w:pPr>
            <w:r>
              <w:rPr>
                <w:rFonts w:hint="eastAsia"/>
                <w:b/>
                <w:bCs/>
                <w:sz w:val="21"/>
                <w:szCs w:val="21"/>
                <w:vertAlign w:val="baseline"/>
                <w:lang w:val="en-US" w:eastAsia="zh-CN"/>
              </w:rPr>
              <w:t>要求</w:t>
            </w:r>
          </w:p>
        </w:tc>
        <w:tc>
          <w:tcPr>
            <w:tcW w:w="1350" w:type="dxa"/>
            <w:gridSpan w:val="2"/>
            <w:vAlign w:val="center"/>
          </w:tcPr>
          <w:p>
            <w:pPr>
              <w:jc w:val="center"/>
              <w:rPr>
                <w:rFonts w:hint="default"/>
                <w:b/>
                <w:bCs/>
                <w:sz w:val="21"/>
                <w:szCs w:val="21"/>
                <w:vertAlign w:val="baseline"/>
                <w:lang w:val="en-US" w:eastAsia="zh-CN"/>
              </w:rPr>
            </w:pPr>
            <w:r>
              <w:rPr>
                <w:rFonts w:hint="eastAsia"/>
                <w:b/>
                <w:bCs/>
                <w:sz w:val="21"/>
                <w:szCs w:val="21"/>
                <w:vertAlign w:val="baseline"/>
                <w:lang w:val="en-US" w:eastAsia="zh-CN"/>
              </w:rPr>
              <w:t>检查记录</w:t>
            </w:r>
          </w:p>
        </w:tc>
        <w:tc>
          <w:tcPr>
            <w:tcW w:w="2411" w:type="dxa"/>
            <w:vMerge w:val="restart"/>
            <w:vAlign w:val="center"/>
          </w:tcPr>
          <w:p>
            <w:pPr>
              <w:jc w:val="center"/>
              <w:rPr>
                <w:rFonts w:hint="default"/>
                <w:b/>
                <w:bCs/>
                <w:sz w:val="21"/>
                <w:szCs w:val="21"/>
                <w:vertAlign w:val="baseline"/>
                <w:lang w:val="en-US" w:eastAsia="zh-CN"/>
              </w:rPr>
            </w:pPr>
            <w:r>
              <w:rPr>
                <w:rFonts w:hint="eastAsia"/>
                <w:b/>
                <w:bCs/>
                <w:sz w:val="21"/>
                <w:szCs w:val="21"/>
                <w:vertAlign w:val="baseline"/>
                <w:lang w:val="en-US" w:eastAsia="zh-CN"/>
              </w:rPr>
              <w:t>问题记录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1" w:type="dxa"/>
            <w:vMerge w:val="continue"/>
            <w:vAlign w:val="center"/>
          </w:tcPr>
          <w:p>
            <w:pPr>
              <w:jc w:val="center"/>
              <w:rPr>
                <w:rFonts w:hint="eastAsia" w:asciiTheme="minorHAnsi" w:hAnsiTheme="minorHAnsi" w:eastAsiaTheme="minorEastAsia" w:cstheme="minorBidi"/>
                <w:b/>
                <w:bCs/>
                <w:kern w:val="2"/>
                <w:sz w:val="21"/>
                <w:szCs w:val="21"/>
                <w:vertAlign w:val="baseline"/>
                <w:lang w:val="en-US" w:eastAsia="zh-CN" w:bidi="ar-SA"/>
              </w:rPr>
            </w:pPr>
          </w:p>
        </w:tc>
        <w:tc>
          <w:tcPr>
            <w:tcW w:w="4950" w:type="dxa"/>
            <w:vMerge w:val="continue"/>
            <w:vAlign w:val="center"/>
          </w:tcPr>
          <w:p>
            <w:pPr>
              <w:jc w:val="center"/>
              <w:rPr>
                <w:rFonts w:hint="eastAsia"/>
                <w:b/>
                <w:bCs/>
                <w:sz w:val="21"/>
                <w:szCs w:val="21"/>
                <w:vertAlign w:val="baseline"/>
                <w:lang w:val="en-US" w:eastAsia="zh-CN"/>
              </w:rPr>
            </w:pPr>
          </w:p>
        </w:tc>
        <w:tc>
          <w:tcPr>
            <w:tcW w:w="660" w:type="dxa"/>
            <w:vAlign w:val="center"/>
          </w:tcPr>
          <w:p>
            <w:pPr>
              <w:jc w:val="center"/>
              <w:rPr>
                <w:rFonts w:hint="default"/>
                <w:b/>
                <w:bCs/>
                <w:sz w:val="21"/>
                <w:szCs w:val="21"/>
                <w:vertAlign w:val="baseline"/>
                <w:lang w:val="en-US" w:eastAsia="zh-CN"/>
              </w:rPr>
            </w:pPr>
            <w:r>
              <w:rPr>
                <w:rFonts w:hint="eastAsia"/>
                <w:b/>
                <w:bCs/>
                <w:sz w:val="21"/>
                <w:szCs w:val="21"/>
                <w:vertAlign w:val="baseline"/>
                <w:lang w:val="en-US" w:eastAsia="zh-CN"/>
              </w:rPr>
              <w:t>是（</w:t>
            </w:r>
            <w:r>
              <w:rPr>
                <w:rFonts w:hint="default" w:ascii="Arial" w:hAnsi="Arial" w:cs="Arial"/>
                <w:b/>
                <w:bCs/>
                <w:sz w:val="21"/>
                <w:szCs w:val="21"/>
                <w:vertAlign w:val="baseline"/>
                <w:lang w:val="en-US" w:eastAsia="zh-CN"/>
              </w:rPr>
              <w:t>√</w:t>
            </w:r>
            <w:r>
              <w:rPr>
                <w:rFonts w:hint="eastAsia"/>
                <w:b/>
                <w:bCs/>
                <w:sz w:val="21"/>
                <w:szCs w:val="21"/>
                <w:vertAlign w:val="baseline"/>
                <w:lang w:val="en-US" w:eastAsia="zh-CN"/>
              </w:rPr>
              <w:t>）</w:t>
            </w:r>
          </w:p>
        </w:tc>
        <w:tc>
          <w:tcPr>
            <w:tcW w:w="690" w:type="dxa"/>
            <w:vAlign w:val="center"/>
          </w:tcPr>
          <w:p>
            <w:pPr>
              <w:jc w:val="center"/>
              <w:rPr>
                <w:rFonts w:hint="default"/>
                <w:b/>
                <w:bCs/>
                <w:sz w:val="21"/>
                <w:szCs w:val="21"/>
                <w:vertAlign w:val="baseline"/>
                <w:lang w:val="en-US" w:eastAsia="zh-CN"/>
              </w:rPr>
            </w:pPr>
            <w:r>
              <w:rPr>
                <w:rFonts w:hint="eastAsia"/>
                <w:b/>
                <w:bCs/>
                <w:sz w:val="21"/>
                <w:szCs w:val="21"/>
                <w:vertAlign w:val="baseline"/>
                <w:lang w:val="en-US" w:eastAsia="zh-CN"/>
              </w:rPr>
              <w:t>否（</w:t>
            </w:r>
            <w:r>
              <w:rPr>
                <w:rFonts w:hint="default" w:ascii="Arial" w:hAnsi="Arial" w:cs="Arial"/>
                <w:b/>
                <w:bCs/>
                <w:sz w:val="21"/>
                <w:szCs w:val="21"/>
                <w:vertAlign w:val="baseline"/>
                <w:lang w:val="en-US" w:eastAsia="zh-CN"/>
              </w:rPr>
              <w:t>×</w:t>
            </w:r>
            <w:r>
              <w:rPr>
                <w:rFonts w:hint="eastAsia"/>
                <w:b/>
                <w:bCs/>
                <w:sz w:val="21"/>
                <w:szCs w:val="21"/>
                <w:vertAlign w:val="baseline"/>
                <w:lang w:val="en-US" w:eastAsia="zh-CN"/>
              </w:rPr>
              <w:t>）</w:t>
            </w:r>
          </w:p>
        </w:tc>
        <w:tc>
          <w:tcPr>
            <w:tcW w:w="2411" w:type="dxa"/>
            <w:vMerge w:val="continue"/>
            <w:vAlign w:val="center"/>
          </w:tcPr>
          <w:p>
            <w:pPr>
              <w:jc w:val="center"/>
              <w:rPr>
                <w:rFonts w:hint="eastAsia"/>
                <w:b/>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vAlign w:val="center"/>
          </w:tcPr>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责任</w:t>
            </w:r>
          </w:p>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体系</w:t>
            </w: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实验</w:t>
            </w:r>
            <w:r>
              <w:rPr>
                <w:rFonts w:hint="eastAsia" w:asciiTheme="minorEastAsia" w:hAnsiTheme="minorEastAsia" w:cstheme="minorEastAsia"/>
                <w:b w:val="0"/>
                <w:bCs w:val="0"/>
                <w:sz w:val="21"/>
                <w:szCs w:val="21"/>
                <w:vertAlign w:val="baseline"/>
                <w:lang w:val="en-US" w:eastAsia="zh-CN"/>
              </w:rPr>
              <w:t>室</w:t>
            </w:r>
            <w:r>
              <w:rPr>
                <w:rFonts w:hint="eastAsia" w:asciiTheme="minorEastAsia" w:hAnsiTheme="minorEastAsia" w:eastAsiaTheme="minorEastAsia" w:cstheme="minorEastAsia"/>
                <w:b w:val="0"/>
                <w:bCs w:val="0"/>
                <w:sz w:val="21"/>
                <w:szCs w:val="21"/>
                <w:vertAlign w:val="baseline"/>
                <w:lang w:val="en-US" w:eastAsia="zh-CN"/>
              </w:rPr>
              <w:t>有明确的安全负责人，</w:t>
            </w:r>
            <w:r>
              <w:rPr>
                <w:rFonts w:hint="eastAsia" w:asciiTheme="minorEastAsia" w:hAnsiTheme="minorEastAsia" w:cstheme="minorEastAsia"/>
                <w:b w:val="0"/>
                <w:bCs w:val="0"/>
                <w:sz w:val="21"/>
                <w:szCs w:val="21"/>
                <w:vertAlign w:val="baseline"/>
                <w:lang w:val="en-US" w:eastAsia="zh-CN"/>
              </w:rPr>
              <w:t>且安全</w:t>
            </w:r>
            <w:r>
              <w:rPr>
                <w:rFonts w:hint="eastAsia" w:asciiTheme="minorEastAsia" w:hAnsiTheme="minorEastAsia" w:eastAsiaTheme="minorEastAsia" w:cstheme="minorEastAsia"/>
                <w:b w:val="0"/>
                <w:bCs w:val="0"/>
                <w:sz w:val="21"/>
                <w:szCs w:val="21"/>
                <w:vertAlign w:val="baseline"/>
                <w:lang w:val="en-US" w:eastAsia="zh-CN"/>
              </w:rPr>
              <w:t>负责人已与学院签订安全责任书</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restart"/>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实验</w:t>
            </w:r>
            <w:r>
              <w:rPr>
                <w:rFonts w:hint="eastAsia" w:asciiTheme="minorEastAsia" w:hAnsiTheme="minorEastAsia" w:cstheme="minorEastAsia"/>
                <w:b w:val="0"/>
                <w:bCs w:val="0"/>
                <w:sz w:val="21"/>
                <w:szCs w:val="21"/>
                <w:vertAlign w:val="baseline"/>
                <w:lang w:val="en-US" w:eastAsia="zh-CN"/>
              </w:rPr>
              <w:t>室安全</w:t>
            </w:r>
            <w:r>
              <w:rPr>
                <w:rFonts w:hint="eastAsia" w:asciiTheme="minorEastAsia" w:hAnsiTheme="minorEastAsia" w:eastAsiaTheme="minorEastAsia" w:cstheme="minorEastAsia"/>
                <w:b w:val="0"/>
                <w:bCs w:val="0"/>
                <w:sz w:val="21"/>
                <w:szCs w:val="21"/>
                <w:vertAlign w:val="baseline"/>
                <w:lang w:val="en-US" w:eastAsia="zh-CN"/>
              </w:rPr>
              <w:t>负责人与实验人员（含学生）签订安全责任书</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vAlign w:val="center"/>
          </w:tcPr>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规章</w:t>
            </w:r>
          </w:p>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制度</w:t>
            </w: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针对本实验室的重要危险源和突发事件制定应急预案，并有年度应急演练计划</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restart"/>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有本实验室的安全制度、实验或设备操作规范并上墙</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有定期安全、卫生等自查制度和记录</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教育</w:t>
            </w:r>
          </w:p>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培训</w:t>
            </w: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定期开展安全知识培训、应急知识学习和应急处置培训等并有记录</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vAlign w:val="center"/>
          </w:tcPr>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安全</w:t>
            </w:r>
          </w:p>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准入</w:t>
            </w: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实验人员已通过学校或学院</w:t>
            </w:r>
            <w:r>
              <w:rPr>
                <w:rFonts w:hint="eastAsia" w:asciiTheme="minorEastAsia" w:hAnsiTheme="minorEastAsia" w:cstheme="minorEastAsia"/>
                <w:b w:val="0"/>
                <w:bCs w:val="0"/>
                <w:sz w:val="21"/>
                <w:szCs w:val="21"/>
                <w:vertAlign w:val="baseline"/>
                <w:lang w:val="en-US" w:eastAsia="zh-CN"/>
              </w:rPr>
              <w:t>（部）</w:t>
            </w:r>
            <w:r>
              <w:rPr>
                <w:rFonts w:hint="eastAsia" w:asciiTheme="minorEastAsia" w:hAnsiTheme="minorEastAsia" w:eastAsiaTheme="minorEastAsia" w:cstheme="minorEastAsia"/>
                <w:b w:val="0"/>
                <w:bCs w:val="0"/>
                <w:sz w:val="21"/>
                <w:szCs w:val="21"/>
                <w:vertAlign w:val="baseline"/>
                <w:lang w:val="en-US" w:eastAsia="zh-CN"/>
              </w:rPr>
              <w:t>组织的实验室安全准入考试</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restart"/>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开展的实验项目已进行危险源辨识、风险评估和控制，制定现场处置方案</w:t>
            </w:r>
            <w:r>
              <w:rPr>
                <w:rFonts w:hint="eastAsia" w:asciiTheme="minorEastAsia" w:hAnsiTheme="minorEastAsia" w:cstheme="minorEastAsia"/>
                <w:b w:val="0"/>
                <w:bCs w:val="0"/>
                <w:sz w:val="21"/>
                <w:szCs w:val="21"/>
                <w:vertAlign w:val="baseline"/>
                <w:lang w:val="en-US" w:eastAsia="zh-CN"/>
              </w:rPr>
              <w:t>，</w:t>
            </w:r>
            <w:r>
              <w:rPr>
                <w:rFonts w:hint="eastAsia" w:ascii="仿宋" w:hAnsi="仿宋" w:eastAsia="仿宋"/>
                <w:spacing w:val="1"/>
                <w:sz w:val="21"/>
                <w:szCs w:val="21"/>
                <w:lang w:eastAsia="zh-CN"/>
              </w:rPr>
              <w:t>，</w:t>
            </w:r>
            <w:r>
              <w:rPr>
                <w:rFonts w:hint="eastAsia" w:asciiTheme="minorEastAsia" w:hAnsiTheme="minorEastAsia" w:eastAsiaTheme="minorEastAsia" w:cstheme="minorEastAsia"/>
                <w:b w:val="0"/>
                <w:bCs w:val="0"/>
                <w:sz w:val="21"/>
                <w:szCs w:val="21"/>
                <w:vertAlign w:val="baseline"/>
                <w:lang w:val="en-US" w:eastAsia="zh-CN"/>
              </w:rPr>
              <w:t>指导有关人员做好安全防护</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vAlign w:val="center"/>
          </w:tcPr>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实验</w:t>
            </w:r>
          </w:p>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场所</w:t>
            </w: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spacing w:val="1"/>
                <w:sz w:val="21"/>
                <w:szCs w:val="21"/>
                <w:lang w:eastAsia="zh-CN"/>
              </w:rPr>
              <w:t>门口挂有安全信息牌，信息包括：实验室分级分类结果、安全风险点的警示标识、安全责任人、涉及危险类别、防护措施和有效的应急联系电话等，并及时更新</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restart"/>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保持消防通道通畅</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配备应急备用钥匙并集中统一管理</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cstheme="minorEastAsia"/>
                <w:spacing w:val="1"/>
                <w:sz w:val="21"/>
                <w:szCs w:val="21"/>
                <w:lang w:val="en-US" w:eastAsia="zh-CN"/>
              </w:rPr>
              <w:t>有</w:t>
            </w:r>
            <w:r>
              <w:rPr>
                <w:rFonts w:hint="eastAsia" w:asciiTheme="minorEastAsia" w:hAnsiTheme="minorEastAsia" w:eastAsiaTheme="minorEastAsia" w:cstheme="minorEastAsia"/>
                <w:spacing w:val="1"/>
                <w:sz w:val="21"/>
                <w:szCs w:val="21"/>
                <w:lang w:eastAsia="zh-CN"/>
              </w:rPr>
              <w:t>毒有害实验区与学习区明确分开</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spacing w:val="1"/>
                <w:sz w:val="21"/>
                <w:szCs w:val="21"/>
                <w:lang w:eastAsia="zh-CN"/>
              </w:rPr>
              <w:t>实验室环境整洁卫生有序</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spacing w:val="1"/>
                <w:sz w:val="21"/>
                <w:szCs w:val="21"/>
                <w:lang w:eastAsia="zh-CN"/>
              </w:rPr>
              <w:t>危险性实验室配备急救物品</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spacing w:val="1"/>
                <w:sz w:val="21"/>
                <w:szCs w:val="21"/>
                <w:lang w:eastAsia="zh-CN"/>
              </w:rPr>
              <w:t>实验室配备合适的灭火设备</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spacing w:val="1"/>
                <w:sz w:val="21"/>
                <w:szCs w:val="21"/>
                <w:lang w:eastAsia="zh-CN"/>
              </w:rPr>
              <w:t>有需要的实验</w:t>
            </w:r>
            <w:r>
              <w:rPr>
                <w:rFonts w:hint="eastAsia" w:asciiTheme="minorEastAsia" w:hAnsiTheme="minorEastAsia" w:eastAsiaTheme="minorEastAsia" w:cstheme="minorEastAsia"/>
                <w:spacing w:val="1"/>
                <w:sz w:val="21"/>
                <w:szCs w:val="21"/>
                <w:lang w:val="en-US" w:eastAsia="zh-CN"/>
              </w:rPr>
              <w:t>室</w:t>
            </w:r>
            <w:r>
              <w:rPr>
                <w:rFonts w:hint="eastAsia" w:asciiTheme="minorEastAsia" w:hAnsiTheme="minorEastAsia" w:eastAsiaTheme="minorEastAsia" w:cstheme="minorEastAsia"/>
                <w:spacing w:val="1"/>
                <w:sz w:val="21"/>
                <w:szCs w:val="21"/>
                <w:lang w:eastAsia="zh-CN"/>
              </w:rPr>
              <w:t>配备符合设计规范的通风系统，</w:t>
            </w:r>
            <w:r>
              <w:rPr>
                <w:rFonts w:hint="eastAsia" w:asciiTheme="minorEastAsia" w:hAnsiTheme="minorEastAsia" w:eastAsiaTheme="minorEastAsia" w:cstheme="minorEastAsia"/>
                <w:spacing w:val="1"/>
                <w:sz w:val="21"/>
                <w:szCs w:val="21"/>
                <w:lang w:val="en-US" w:eastAsia="zh-CN"/>
              </w:rPr>
              <w:t>且设备运转正常</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vAlign w:val="center"/>
          </w:tcPr>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水电</w:t>
            </w:r>
          </w:p>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安全</w:t>
            </w: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spacing w:val="1"/>
                <w:sz w:val="21"/>
                <w:szCs w:val="21"/>
                <w:lang w:eastAsia="zh-CN"/>
              </w:rPr>
              <w:t>实验室配电容量、插头插座与用电设备功率须匹配</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restart"/>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spacing w:val="1"/>
                <w:sz w:val="21"/>
                <w:szCs w:val="21"/>
                <w:lang w:eastAsia="zh-CN"/>
              </w:rPr>
              <w:t>电源插座须有效固定</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spacing w:val="1"/>
                <w:sz w:val="21"/>
                <w:szCs w:val="21"/>
                <w:lang w:eastAsia="zh-CN"/>
              </w:rPr>
              <w:t>大功率仪器(包括空调等)使用专用插座</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spacing w:val="1"/>
                <w:sz w:val="21"/>
                <w:szCs w:val="21"/>
                <w:lang w:eastAsia="zh-CN"/>
              </w:rPr>
              <w:t>配电箱前</w:t>
            </w:r>
            <w:r>
              <w:rPr>
                <w:rFonts w:hint="eastAsia" w:asciiTheme="minorEastAsia" w:hAnsiTheme="minorEastAsia" w:cstheme="minorEastAsia"/>
                <w:spacing w:val="1"/>
                <w:sz w:val="21"/>
                <w:szCs w:val="21"/>
                <w:lang w:val="en-US" w:eastAsia="zh-CN"/>
              </w:rPr>
              <w:t>无</w:t>
            </w:r>
            <w:r>
              <w:rPr>
                <w:rFonts w:hint="eastAsia" w:asciiTheme="minorEastAsia" w:hAnsiTheme="minorEastAsia" w:eastAsiaTheme="minorEastAsia" w:cstheme="minorEastAsia"/>
                <w:spacing w:val="1"/>
                <w:sz w:val="21"/>
                <w:szCs w:val="21"/>
                <w:lang w:val="en-US" w:eastAsia="zh-CN"/>
              </w:rPr>
              <w:t>遮挡，无高温设备、易燃易爆气瓶和化学试剂、废液桶</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spacing w:val="1"/>
                <w:sz w:val="21"/>
                <w:szCs w:val="21"/>
                <w:lang w:eastAsia="zh-CN"/>
              </w:rPr>
              <w:t>水槽、地漏及下水道畅通，水龙头、上下水管无破损</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各类连接管无老化破损(特别是冷却冷凝系统的橡胶管接口处)</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vAlign w:val="center"/>
          </w:tcPr>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个体</w:t>
            </w:r>
          </w:p>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防护</w:t>
            </w: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进入实验室人员须穿着质地合适的实验服或防护服</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restart"/>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val="en-US" w:eastAsia="zh-CN"/>
              </w:rPr>
            </w:pPr>
            <w:r>
              <w:rPr>
                <w:rFonts w:hint="eastAsia" w:asciiTheme="minorEastAsia" w:hAnsiTheme="minorEastAsia" w:eastAsiaTheme="minorEastAsia" w:cstheme="minorEastAsia"/>
                <w:spacing w:val="1"/>
                <w:sz w:val="21"/>
                <w:szCs w:val="21"/>
                <w:lang w:eastAsia="zh-CN"/>
              </w:rPr>
              <w:t>按需要佩戴防护眼镜、防护手套、安全帽、防护帽、呼吸器或面罩</w:t>
            </w:r>
            <w:r>
              <w:rPr>
                <w:rFonts w:hint="eastAsia" w:asciiTheme="minorEastAsia" w:hAnsiTheme="minorEastAsia" w:eastAsiaTheme="minorEastAsia" w:cstheme="minorEastAsia"/>
                <w:spacing w:val="1"/>
                <w:sz w:val="21"/>
                <w:szCs w:val="21"/>
                <w:lang w:val="en-US" w:eastAsia="zh-CN"/>
              </w:rPr>
              <w:t>等</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紧急情况须使用的个体防护器具应分散存放在安全场所，以便于取用</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val="en-US" w:eastAsia="zh-CN"/>
              </w:rPr>
            </w:pPr>
            <w:r>
              <w:rPr>
                <w:rFonts w:hint="eastAsia" w:asciiTheme="minorEastAsia" w:hAnsiTheme="minorEastAsia" w:eastAsiaTheme="minorEastAsia" w:cstheme="minorEastAsia"/>
                <w:spacing w:val="1"/>
                <w:sz w:val="21"/>
                <w:szCs w:val="21"/>
                <w:lang w:val="en-US" w:eastAsia="zh-CN"/>
              </w:rPr>
              <w:t>配备必要的应急处置物资和药品</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vAlign w:val="center"/>
          </w:tcPr>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化学品储存区</w:t>
            </w: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危险化学品储存区须有通风、隔热、避光、防盗、防爆、防静电、泄漏报警、应急喷淋、安全警示标识等措施，符合相关规定，专人管理</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restart"/>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消防设施符合国家相关规定，正确配备灭火器材(如灭 火器、灭火毯、砂箱、自动喷淋等)</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储存区的试剂不混放，整箱试剂的叠加高度不大于1.5m</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vAlign w:val="center"/>
          </w:tcPr>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危化品</w:t>
            </w: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剧毒品、易制爆品、易制毒品、爆炸品建立购买、验收、使用等台账资料</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restart"/>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val="en-US" w:eastAsia="zh-CN"/>
              </w:rPr>
            </w:pPr>
            <w:r>
              <w:rPr>
                <w:rFonts w:hint="eastAsia" w:asciiTheme="minorEastAsia" w:hAnsiTheme="minorEastAsia" w:eastAsiaTheme="minorEastAsia" w:cstheme="minorEastAsia"/>
                <w:spacing w:val="1"/>
                <w:sz w:val="21"/>
                <w:szCs w:val="21"/>
                <w:lang w:val="en-US" w:eastAsia="zh-CN"/>
              </w:rPr>
              <w:t>有</w:t>
            </w:r>
            <w:r>
              <w:rPr>
                <w:rFonts w:hint="eastAsia" w:asciiTheme="minorEastAsia" w:hAnsiTheme="minorEastAsia" w:eastAsiaTheme="minorEastAsia" w:cstheme="minorEastAsia"/>
                <w:spacing w:val="1"/>
                <w:sz w:val="21"/>
                <w:szCs w:val="21"/>
                <w:lang w:eastAsia="zh-CN"/>
              </w:rPr>
              <w:t>危险化学品安全技术说明书(SDS) 或安全周知卡</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定期清理废旧试剂，无累积现象</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化学品有序分类存放，固体、液体不混乱放置，互为禁忌的化学品不得混放，试剂不得叠放</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危险化学品(不含压缩气体和液化气体)不超过100L或100Kg, 其中易燃易爆性化学品的存放总量不超过50L或50Kg,且单一包装容器不应大于20L或20Kg(按50m²为标准，存放量按实验室面积比考量)。</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化学品标签应显著、完整、清晰</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vAlign w:val="center"/>
          </w:tcPr>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管制类化学品</w:t>
            </w: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剧毒化学品</w:t>
            </w:r>
            <w:r>
              <w:rPr>
                <w:rFonts w:hint="eastAsia" w:asciiTheme="minorEastAsia" w:hAnsiTheme="minorEastAsia" w:eastAsiaTheme="minorEastAsia" w:cstheme="minorEastAsia"/>
                <w:spacing w:val="1"/>
                <w:sz w:val="21"/>
                <w:szCs w:val="21"/>
                <w:lang w:val="en-US" w:eastAsia="zh-CN"/>
              </w:rPr>
              <w:t>单独存放，</w:t>
            </w:r>
            <w:r>
              <w:rPr>
                <w:rFonts w:hint="eastAsia" w:asciiTheme="minorEastAsia" w:hAnsiTheme="minorEastAsia" w:eastAsiaTheme="minorEastAsia" w:cstheme="minorEastAsia"/>
                <w:spacing w:val="1"/>
                <w:sz w:val="21"/>
                <w:szCs w:val="21"/>
                <w:lang w:eastAsia="zh-CN"/>
              </w:rPr>
              <w:t>执行“五双 ”管理(即双人验收、双人保管、双人发货、双把锁、双本账)，登记资料至少保存1年</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restart"/>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val="en-US" w:eastAsia="zh-CN"/>
              </w:rPr>
            </w:pPr>
            <w:r>
              <w:rPr>
                <w:rFonts w:hint="eastAsia" w:asciiTheme="minorEastAsia" w:hAnsiTheme="minorEastAsia" w:eastAsiaTheme="minorEastAsia" w:cstheme="minorEastAsia"/>
                <w:spacing w:val="1"/>
                <w:sz w:val="21"/>
                <w:szCs w:val="21"/>
                <w:lang w:eastAsia="zh-CN"/>
              </w:rPr>
              <w:t>易制毒化学品设置专用存储区或者专柜储存并有防盗措施，</w:t>
            </w:r>
            <w:r>
              <w:rPr>
                <w:rFonts w:hint="eastAsia" w:asciiTheme="minorEastAsia" w:hAnsiTheme="minorEastAsia" w:eastAsiaTheme="minorEastAsia" w:cstheme="minorEastAsia"/>
                <w:spacing w:val="1"/>
                <w:sz w:val="21"/>
                <w:szCs w:val="21"/>
                <w:lang w:val="en-US" w:eastAsia="zh-CN"/>
              </w:rPr>
              <w:t>台账清晰</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spacing w:val="1"/>
                <w:sz w:val="21"/>
                <w:szCs w:val="21"/>
                <w:lang w:eastAsia="zh-CN"/>
              </w:rPr>
              <w:t>易制爆化学品存放场所出入口应设置防盗安全门，或存放在专用储存柜内，</w:t>
            </w:r>
            <w:r>
              <w:rPr>
                <w:rFonts w:hint="eastAsia" w:asciiTheme="minorEastAsia" w:hAnsiTheme="minorEastAsia" w:eastAsiaTheme="minorEastAsia" w:cstheme="minorEastAsia"/>
                <w:spacing w:val="1"/>
                <w:sz w:val="21"/>
                <w:szCs w:val="21"/>
                <w:lang w:val="en-US" w:eastAsia="zh-CN"/>
              </w:rPr>
              <w:t>双人双锁管理，</w:t>
            </w:r>
            <w:r>
              <w:rPr>
                <w:rFonts w:hint="eastAsia" w:asciiTheme="minorEastAsia" w:hAnsiTheme="minorEastAsia" w:eastAsiaTheme="minorEastAsia" w:cstheme="minorEastAsia"/>
                <w:spacing w:val="1"/>
                <w:sz w:val="21"/>
                <w:szCs w:val="21"/>
                <w:lang w:eastAsia="zh-CN"/>
              </w:rPr>
              <w:t>台账账册保存期限不少于1年</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麻醉药品符合“双人双锁 ”要求，专用账册的保存期限应当自药品有效期期满 之日起不少于5年。</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vAlign w:val="center"/>
          </w:tcPr>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实验</w:t>
            </w:r>
          </w:p>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气体</w:t>
            </w: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从合格供应商处采购实验气体，建立气体 (气瓶)台账</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restart"/>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气体(气瓶)存放点须通风、远离热源、避免暴晒，地面平整干燥</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气瓶应合理固定</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val="en-US" w:eastAsia="zh-CN"/>
              </w:rPr>
            </w:pPr>
            <w:r>
              <w:rPr>
                <w:rFonts w:hint="eastAsia" w:asciiTheme="minorEastAsia" w:hAnsiTheme="minorEastAsia" w:eastAsiaTheme="minorEastAsia" w:cstheme="minorEastAsia"/>
                <w:spacing w:val="1"/>
                <w:sz w:val="21"/>
                <w:szCs w:val="21"/>
                <w:lang w:eastAsia="zh-CN"/>
              </w:rPr>
              <w:t>危险气体气瓶</w:t>
            </w:r>
            <w:r>
              <w:rPr>
                <w:rFonts w:hint="eastAsia" w:asciiTheme="minorEastAsia" w:hAnsiTheme="minorEastAsia" w:cstheme="minorEastAsia"/>
                <w:spacing w:val="1"/>
                <w:sz w:val="21"/>
                <w:szCs w:val="21"/>
                <w:lang w:val="en-US" w:eastAsia="zh-CN"/>
              </w:rPr>
              <w:t>应</w:t>
            </w:r>
            <w:r>
              <w:rPr>
                <w:rFonts w:hint="eastAsia" w:asciiTheme="minorEastAsia" w:hAnsiTheme="minorEastAsia" w:eastAsiaTheme="minorEastAsia" w:cstheme="minorEastAsia"/>
                <w:spacing w:val="1"/>
                <w:sz w:val="21"/>
                <w:szCs w:val="21"/>
                <w:lang w:eastAsia="zh-CN"/>
              </w:rPr>
              <w:t>置于室外</w:t>
            </w:r>
            <w:r>
              <w:rPr>
                <w:rFonts w:hint="eastAsia" w:asciiTheme="minorEastAsia" w:hAnsiTheme="minorEastAsia" w:cstheme="minorEastAsia"/>
                <w:spacing w:val="1"/>
                <w:sz w:val="21"/>
                <w:szCs w:val="21"/>
                <w:lang w:eastAsia="zh-CN"/>
              </w:rPr>
              <w:t>，</w:t>
            </w:r>
            <w:r>
              <w:rPr>
                <w:rFonts w:hint="eastAsia" w:asciiTheme="minorEastAsia" w:hAnsiTheme="minorEastAsia" w:cstheme="minorEastAsia"/>
                <w:spacing w:val="1"/>
                <w:sz w:val="21"/>
                <w:szCs w:val="21"/>
                <w:lang w:val="en-US" w:eastAsia="zh-CN"/>
              </w:rPr>
              <w:t>室内放置应</w:t>
            </w:r>
            <w:r>
              <w:rPr>
                <w:rFonts w:hint="eastAsia" w:asciiTheme="minorEastAsia" w:hAnsiTheme="minorEastAsia" w:eastAsiaTheme="minorEastAsia" w:cstheme="minorEastAsia"/>
                <w:spacing w:val="1"/>
                <w:sz w:val="21"/>
                <w:szCs w:val="21"/>
                <w:lang w:eastAsia="zh-CN"/>
              </w:rPr>
              <w:t>使用常时排风且带监测报警装置的气瓶柜</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有毒、可燃气体配有通风设施和相应的气体监测和报警装置等，张贴必要的安全警示标志</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可燃性气体与助燃气体气瓶不得混放</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无超过检验有效期的气瓶、无超过设计年限的气瓶</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存有大量无毒窒息性压缩气体或液化气体(液氮、液氢)的较小密闭空间须安装氧含量监测报警装置</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vAlign w:val="center"/>
          </w:tcPr>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化学</w:t>
            </w:r>
          </w:p>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废弃物</w:t>
            </w: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实验室设立化学废弃物暂存区</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restart"/>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暂存区远离火源、热源和不相容物质，避免日晒、雨淋</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暂存区有警示标志并有防遗洒、防渗漏设施或措施</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危险废物按化学特性和危险特性，进行分类收集和暂存</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针头等利器放入利器盒中收集</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废液分类装入专用废液桶中，液面不超过容量的3/4。废液桶须满足耐腐蚀、抗溶剂、耐挤压、抗冲击的要求。</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危险废物收集容器上粘贴危险废物信息标签、警示标识</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vAlign w:val="center"/>
          </w:tcPr>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辐射</w:t>
            </w:r>
          </w:p>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安全</w:t>
            </w: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辐射工作单位须取得辐射安全许可证</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restart"/>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val="en-US" w:eastAsia="zh-CN"/>
              </w:rPr>
            </w:pPr>
            <w:r>
              <w:rPr>
                <w:rFonts w:hint="eastAsia" w:asciiTheme="minorEastAsia" w:hAnsiTheme="minorEastAsia" w:eastAsiaTheme="minorEastAsia" w:cstheme="minorEastAsia"/>
                <w:spacing w:val="1"/>
                <w:sz w:val="21"/>
                <w:szCs w:val="21"/>
                <w:lang w:eastAsia="zh-CN"/>
              </w:rPr>
              <w:t>辐射工作人员须经过专门培训，定期参加放射性职业体检，</w:t>
            </w:r>
            <w:r>
              <w:rPr>
                <w:rFonts w:hint="eastAsia" w:asciiTheme="minorEastAsia" w:hAnsiTheme="minorEastAsia" w:eastAsiaTheme="minorEastAsia" w:cstheme="minorEastAsia"/>
                <w:spacing w:val="1"/>
                <w:sz w:val="21"/>
                <w:szCs w:val="21"/>
                <w:lang w:val="en-US" w:eastAsia="zh-CN"/>
              </w:rPr>
              <w:t>有健康档案</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放射源储存库设双人双锁，并有安全报警系统和视频监控系统</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辐照设施设备和射线装置具有能正常工作的安全联锁装置和报警装置，有明 显的安全警示标识、警戒线和剂量报警仪</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辐射实验场所每年有合格的实验场所检测报告</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val="en-US" w:eastAsia="zh-CN"/>
              </w:rPr>
              <w:t>有</w:t>
            </w:r>
            <w:r>
              <w:rPr>
                <w:rFonts w:hint="eastAsia" w:asciiTheme="minorEastAsia" w:hAnsiTheme="minorEastAsia" w:eastAsiaTheme="minorEastAsia" w:cstheme="minorEastAsia"/>
                <w:spacing w:val="1"/>
                <w:sz w:val="21"/>
                <w:szCs w:val="21"/>
                <w:lang w:eastAsia="zh-CN"/>
              </w:rPr>
              <w:t>辐射事故应急预案及应急演练记录(每年不少于1次演练)</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vAlign w:val="center"/>
          </w:tcPr>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机电</w:t>
            </w:r>
          </w:p>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安全</w:t>
            </w: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大型仪器设备、高功率的设备与电路容量相匹配，有设备运行维护记录，有安全操作规程或注意事项。</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restart"/>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仪器设备接地系统按规范要求，采用铜质材料，接地电阻不高于0.5Q。</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电脑、空调、电加热器等不随意开机过夜</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高温、高压、高速运动、电磁辐射等特殊设备，对使用者有培训要求， 有安全警示标识和安全警示线(黄色),设备安全防护措施完好</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非标准设备、自制设备应经安全论证合格后方可使用，须充分考虑安全系数，并有安全防护措施</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机械设备保持清洁整齐，可靠接地</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操作机械设备时实验人员做好个体防护</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铸造实验场地宽敞、通道畅通</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电气设备及电线应始终保持干燥，防止浸湿</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高压、大电流等强电实验室设定安全距离，按规定设置安全警示牌，安全信号灯，联动式警铃、门锁，有安全隔离装置或屏蔽遮栏</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控制室(控制台)铺橡胶、绝缘垫等</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强电实验室禁止存放易燃、易爆、易腐品，保持通风散热</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为设备配备残余电流泄放专用的接地系统</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vAlign w:val="center"/>
          </w:tcPr>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起重</w:t>
            </w:r>
          </w:p>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设备</w:t>
            </w: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达到《特种设备目录》中起重机械指标的起重设备取得特种设备使用登记证</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restart"/>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起重机械作业人员、检验单位有相关资质</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起重机械定期保养，设置警示标识，安装防护设施</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vAlign w:val="center"/>
          </w:tcPr>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压力</w:t>
            </w:r>
          </w:p>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容器</w:t>
            </w: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安全管理员应取得相应的特种设备安全管理和作业人员证，持证上岗，并每4年复审1次。</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restart"/>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委托有资质的单位进行定期检验</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安全阀或压力表等附件须委托有资质的单位定期校验或检定</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val="en-US" w:eastAsia="zh-CN"/>
              </w:rPr>
            </w:pPr>
            <w:r>
              <w:rPr>
                <w:rFonts w:hint="eastAsia" w:asciiTheme="minorEastAsia" w:hAnsiTheme="minorEastAsia" w:eastAsiaTheme="minorEastAsia" w:cstheme="minorEastAsia"/>
                <w:spacing w:val="1"/>
                <w:sz w:val="21"/>
                <w:szCs w:val="21"/>
                <w:lang w:eastAsia="zh-CN"/>
              </w:rPr>
              <w:t>建立各项安全管理制度，制定操作规程</w:t>
            </w:r>
            <w:r>
              <w:rPr>
                <w:rFonts w:hint="eastAsia" w:asciiTheme="minorEastAsia" w:hAnsiTheme="minorEastAsia" w:eastAsiaTheme="minorEastAsia" w:cstheme="minorEastAsia"/>
                <w:spacing w:val="1"/>
                <w:sz w:val="21"/>
                <w:szCs w:val="21"/>
                <w:lang w:val="en-US" w:eastAsia="zh-CN"/>
              </w:rPr>
              <w:t>并上墙</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盛装可燃、爆炸性气体的压力容器，其电气设施应防爆，电器开关和熔断器 都应设置在明显位置</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center"/>
              <w:rPr>
                <w:rFonts w:hint="eastAsia" w:asciiTheme="minorEastAsia" w:hAnsiTheme="minorEastAsia" w:eastAsiaTheme="minorEastAsia" w:cstheme="minorEastAsia"/>
                <w:b/>
                <w:bCs/>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val="en-US" w:eastAsia="zh-CN"/>
              </w:rPr>
            </w:pPr>
            <w:r>
              <w:rPr>
                <w:rFonts w:hint="eastAsia" w:asciiTheme="minorEastAsia" w:hAnsiTheme="minorEastAsia" w:eastAsiaTheme="minorEastAsia" w:cstheme="minorEastAsia"/>
                <w:spacing w:val="1"/>
                <w:sz w:val="21"/>
                <w:szCs w:val="21"/>
                <w:lang w:val="en-US" w:eastAsia="zh-CN"/>
              </w:rPr>
              <w:t>定期自查巡检并做记录</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vAlign w:val="center"/>
          </w:tcPr>
          <w:p>
            <w:pPr>
              <w:jc w:val="center"/>
              <w:rPr>
                <w:rFonts w:hint="eastAsia" w:asciiTheme="minorEastAsia" w:hAnsiTheme="minorEastAsia" w:eastAsiaTheme="minorEastAsia" w:cstheme="minorEastAsia"/>
                <w:b/>
                <w:bCs/>
                <w:sz w:val="21"/>
                <w:szCs w:val="21"/>
                <w:vertAlign w:val="baseline"/>
                <w:lang w:val="en-US" w:eastAsia="zh-CN"/>
              </w:rPr>
            </w:pPr>
            <w:r>
              <w:rPr>
                <w:rFonts w:hint="eastAsia" w:asciiTheme="minorEastAsia" w:hAnsiTheme="minorEastAsia" w:eastAsiaTheme="minorEastAsia" w:cstheme="minorEastAsia"/>
                <w:b/>
                <w:bCs/>
                <w:sz w:val="21"/>
                <w:szCs w:val="21"/>
                <w:vertAlign w:val="baseline"/>
                <w:lang w:val="en-US" w:eastAsia="zh-CN"/>
              </w:rPr>
              <w:t>加热及制冷装置</w:t>
            </w: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贮存危险化学品的冰箱满足防爆要求</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restart"/>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实验室冰箱中试剂瓶螺口拧紧，无开口容器，不得放置非实验用食品、药品。超低温冰箱门上有储物分区标识</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冰箱不超期使用(一般使用期限控制为10年)</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冰箱周围留出足够空间，周围不堆放杂物，不影响散热</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烘箱、电阻炉不超期使用(一般使用期限控制为12年)</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加热设备放置在通风干燥处，不直接放置在木桌、木板等易燃物品上，周围有一定的散热空间，设备旁不能放置易燃易爆化学品、气瓶、冰箱、杂物等，远离配电箱、插座、接线板等设备</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加热设备周边醒目位置张贴高温警示标志，并有必要的防护措施，张贴有安全操作规程、警示标志</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涉及化学品的实验室不使用明火电炉。如必须使用，须有安全防范措施</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使用加热设备时，温度较高的实验须有人值守或有实时监控措施</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不使用明火电炉加热易燃易爆试剂</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vAlign w:val="center"/>
          </w:tcPr>
          <w:p>
            <w:pPr>
              <w:jc w:val="left"/>
              <w:rPr>
                <w:rFonts w:hint="eastAsia" w:asciiTheme="minorEastAsia" w:hAnsiTheme="minorEastAsia" w:eastAsiaTheme="minorEastAsia" w:cstheme="minorEastAsia"/>
                <w:b w:val="0"/>
                <w:bCs w:val="0"/>
                <w:sz w:val="21"/>
                <w:szCs w:val="21"/>
                <w:vertAlign w:val="baseline"/>
                <w:lang w:val="en-US" w:eastAsia="zh-CN"/>
              </w:rPr>
            </w:pPr>
          </w:p>
        </w:tc>
        <w:tc>
          <w:tcPr>
            <w:tcW w:w="4950" w:type="dxa"/>
            <w:vAlign w:val="center"/>
          </w:tcPr>
          <w:p>
            <w:pPr>
              <w:jc w:val="left"/>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pacing w:val="1"/>
                <w:sz w:val="21"/>
                <w:szCs w:val="21"/>
                <w:lang w:eastAsia="zh-CN"/>
              </w:rPr>
              <w:t>明火电炉、电吹风、电热枪等用毕，须及时拔除电源插头</w:t>
            </w:r>
          </w:p>
        </w:tc>
        <w:tc>
          <w:tcPr>
            <w:tcW w:w="660" w:type="dxa"/>
            <w:vAlign w:val="center"/>
          </w:tcPr>
          <w:p>
            <w:pPr>
              <w:jc w:val="center"/>
              <w:rPr>
                <w:rFonts w:hint="eastAsia"/>
                <w:b w:val="0"/>
                <w:bCs w:val="0"/>
                <w:sz w:val="21"/>
                <w:szCs w:val="21"/>
                <w:vertAlign w:val="baseline"/>
                <w:lang w:val="en-US" w:eastAsia="zh-CN"/>
              </w:rPr>
            </w:pPr>
          </w:p>
        </w:tc>
        <w:tc>
          <w:tcPr>
            <w:tcW w:w="690" w:type="dxa"/>
            <w:vAlign w:val="center"/>
          </w:tcPr>
          <w:p>
            <w:pPr>
              <w:jc w:val="center"/>
              <w:rPr>
                <w:rFonts w:hint="eastAsia"/>
                <w:b w:val="0"/>
                <w:bCs w:val="0"/>
                <w:sz w:val="21"/>
                <w:szCs w:val="21"/>
                <w:vertAlign w:val="baseline"/>
                <w:lang w:val="en-US" w:eastAsia="zh-CN"/>
              </w:rPr>
            </w:pPr>
          </w:p>
        </w:tc>
        <w:tc>
          <w:tcPr>
            <w:tcW w:w="2411" w:type="dxa"/>
            <w:vMerge w:val="continue"/>
            <w:vAlign w:val="center"/>
          </w:tcPr>
          <w:p>
            <w:pPr>
              <w:jc w:val="center"/>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8" w:hRule="atLeast"/>
          <w:jc w:val="center"/>
        </w:trPr>
        <w:tc>
          <w:tcPr>
            <w:tcW w:w="881" w:type="dxa"/>
            <w:vAlign w:val="center"/>
          </w:tcPr>
          <w:p>
            <w:pPr>
              <w:jc w:val="center"/>
              <w:rPr>
                <w:rFonts w:hint="default"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其他安全隐患记录</w:t>
            </w:r>
          </w:p>
        </w:tc>
        <w:tc>
          <w:tcPr>
            <w:tcW w:w="8711" w:type="dxa"/>
            <w:gridSpan w:val="4"/>
            <w:vAlign w:val="center"/>
          </w:tcPr>
          <w:p>
            <w:pPr>
              <w:jc w:val="center"/>
              <w:rPr>
                <w:rFonts w:hint="eastAsia"/>
                <w:b w:val="0"/>
                <w:bCs w:val="0"/>
                <w:sz w:val="21"/>
                <w:szCs w:val="21"/>
                <w:vertAlign w:val="baseline"/>
                <w:lang w:val="en-US" w:eastAsia="zh-CN"/>
              </w:rPr>
            </w:pPr>
          </w:p>
        </w:tc>
      </w:tr>
    </w:tbl>
    <w:p>
      <w:pPr>
        <w:jc w:val="left"/>
        <w:rPr>
          <w:rFonts w:hint="default"/>
          <w:b w:val="0"/>
          <w:bCs w:val="0"/>
          <w:sz w:val="28"/>
          <w:szCs w:val="28"/>
          <w:lang w:val="en-US" w:eastAsia="zh-CN"/>
        </w:rPr>
      </w:pPr>
      <w:r>
        <w:rPr>
          <w:rFonts w:hint="eastAsia"/>
          <w:b/>
          <w:bCs/>
          <w:sz w:val="28"/>
          <w:szCs w:val="28"/>
          <w:lang w:val="en-US" w:eastAsia="zh-CN"/>
        </w:rPr>
        <w:t>隐患整改时限：</w:t>
      </w:r>
      <w:r>
        <w:rPr>
          <w:rFonts w:hint="eastAsia"/>
          <w:b w:val="0"/>
          <w:bCs w:val="0"/>
          <w:sz w:val="28"/>
          <w:szCs w:val="28"/>
          <w:u w:val="single"/>
          <w:lang w:val="en-US" w:eastAsia="zh-CN"/>
        </w:rPr>
        <w:t xml:space="preserve">      </w:t>
      </w:r>
      <w:r>
        <w:rPr>
          <w:rFonts w:hint="eastAsia"/>
          <w:b w:val="0"/>
          <w:bCs w:val="0"/>
          <w:sz w:val="28"/>
          <w:szCs w:val="28"/>
          <w:lang w:val="en-US" w:eastAsia="zh-CN"/>
        </w:rPr>
        <w:t>年</w:t>
      </w:r>
      <w:r>
        <w:rPr>
          <w:rFonts w:hint="eastAsia"/>
          <w:b w:val="0"/>
          <w:bCs w:val="0"/>
          <w:sz w:val="28"/>
          <w:szCs w:val="28"/>
          <w:u w:val="single"/>
          <w:lang w:val="en-US" w:eastAsia="zh-CN"/>
        </w:rPr>
        <w:t xml:space="preserve">    </w:t>
      </w:r>
      <w:r>
        <w:rPr>
          <w:rFonts w:hint="eastAsia"/>
          <w:b w:val="0"/>
          <w:bCs w:val="0"/>
          <w:sz w:val="28"/>
          <w:szCs w:val="28"/>
          <w:lang w:val="en-US" w:eastAsia="zh-CN"/>
        </w:rPr>
        <w:t>月</w:t>
      </w:r>
      <w:r>
        <w:rPr>
          <w:rFonts w:hint="eastAsia"/>
          <w:b w:val="0"/>
          <w:bCs w:val="0"/>
          <w:sz w:val="28"/>
          <w:szCs w:val="28"/>
          <w:u w:val="single"/>
          <w:lang w:val="en-US" w:eastAsia="zh-CN"/>
        </w:rPr>
        <w:t xml:space="preserve">    </w:t>
      </w:r>
      <w:r>
        <w:rPr>
          <w:rFonts w:hint="eastAsia"/>
          <w:b w:val="0"/>
          <w:bCs w:val="0"/>
          <w:sz w:val="28"/>
          <w:szCs w:val="28"/>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E03E1"/>
    <w:rsid w:val="011B2D5D"/>
    <w:rsid w:val="027E22C9"/>
    <w:rsid w:val="02A44DE3"/>
    <w:rsid w:val="02F75778"/>
    <w:rsid w:val="030054FC"/>
    <w:rsid w:val="03772BBD"/>
    <w:rsid w:val="03CC5591"/>
    <w:rsid w:val="03E74676"/>
    <w:rsid w:val="050C42D8"/>
    <w:rsid w:val="050E67E7"/>
    <w:rsid w:val="055B6051"/>
    <w:rsid w:val="05B93485"/>
    <w:rsid w:val="06834101"/>
    <w:rsid w:val="069D2A58"/>
    <w:rsid w:val="07965979"/>
    <w:rsid w:val="091A5274"/>
    <w:rsid w:val="0DD94923"/>
    <w:rsid w:val="0F0766F2"/>
    <w:rsid w:val="10355CC4"/>
    <w:rsid w:val="113621FF"/>
    <w:rsid w:val="160A6F77"/>
    <w:rsid w:val="17747D4E"/>
    <w:rsid w:val="18256D2A"/>
    <w:rsid w:val="193170BE"/>
    <w:rsid w:val="1986236A"/>
    <w:rsid w:val="1A883976"/>
    <w:rsid w:val="1B1644C4"/>
    <w:rsid w:val="1C381D54"/>
    <w:rsid w:val="1C427D00"/>
    <w:rsid w:val="1CA90611"/>
    <w:rsid w:val="1E6131E6"/>
    <w:rsid w:val="1EEC0BCC"/>
    <w:rsid w:val="1FE42E3D"/>
    <w:rsid w:val="20AF0A2F"/>
    <w:rsid w:val="21534684"/>
    <w:rsid w:val="215A0945"/>
    <w:rsid w:val="22F02729"/>
    <w:rsid w:val="245E4C8B"/>
    <w:rsid w:val="24EF6003"/>
    <w:rsid w:val="25781DDD"/>
    <w:rsid w:val="258A7058"/>
    <w:rsid w:val="27A85D8C"/>
    <w:rsid w:val="27E03081"/>
    <w:rsid w:val="27E1537C"/>
    <w:rsid w:val="28D0562B"/>
    <w:rsid w:val="2A240333"/>
    <w:rsid w:val="2A7C0543"/>
    <w:rsid w:val="2A812EBA"/>
    <w:rsid w:val="2B5A68AC"/>
    <w:rsid w:val="2C153E60"/>
    <w:rsid w:val="31F43832"/>
    <w:rsid w:val="331B14B1"/>
    <w:rsid w:val="347D3C89"/>
    <w:rsid w:val="34AD69BA"/>
    <w:rsid w:val="34B82A8C"/>
    <w:rsid w:val="36D130B5"/>
    <w:rsid w:val="36FB0333"/>
    <w:rsid w:val="3737558D"/>
    <w:rsid w:val="37CB5715"/>
    <w:rsid w:val="384E2FC3"/>
    <w:rsid w:val="391062CC"/>
    <w:rsid w:val="393D18B9"/>
    <w:rsid w:val="3BE31390"/>
    <w:rsid w:val="3E8A370C"/>
    <w:rsid w:val="3F1927EA"/>
    <w:rsid w:val="4381703C"/>
    <w:rsid w:val="43CB6E0C"/>
    <w:rsid w:val="45356FD8"/>
    <w:rsid w:val="48DC68A4"/>
    <w:rsid w:val="4949644B"/>
    <w:rsid w:val="497A5690"/>
    <w:rsid w:val="4D0549EA"/>
    <w:rsid w:val="4EE33F7B"/>
    <w:rsid w:val="4EF5188F"/>
    <w:rsid w:val="4F9F3340"/>
    <w:rsid w:val="50696790"/>
    <w:rsid w:val="50804CA1"/>
    <w:rsid w:val="51317043"/>
    <w:rsid w:val="515E7385"/>
    <w:rsid w:val="523B4FD5"/>
    <w:rsid w:val="561E3263"/>
    <w:rsid w:val="57354E4E"/>
    <w:rsid w:val="58C064AB"/>
    <w:rsid w:val="5A0E0CBD"/>
    <w:rsid w:val="5AE44879"/>
    <w:rsid w:val="5C183C23"/>
    <w:rsid w:val="5C1B730A"/>
    <w:rsid w:val="5C236805"/>
    <w:rsid w:val="5CAA4817"/>
    <w:rsid w:val="5CED7C2C"/>
    <w:rsid w:val="5CF918D5"/>
    <w:rsid w:val="5DAB262A"/>
    <w:rsid w:val="5DDC5E8E"/>
    <w:rsid w:val="5DDE7CA6"/>
    <w:rsid w:val="5E0C65C1"/>
    <w:rsid w:val="5E0D387D"/>
    <w:rsid w:val="5E367F4E"/>
    <w:rsid w:val="5EF818FC"/>
    <w:rsid w:val="60AE592B"/>
    <w:rsid w:val="60B0559C"/>
    <w:rsid w:val="60C33C89"/>
    <w:rsid w:val="63DB0AA9"/>
    <w:rsid w:val="64C52C73"/>
    <w:rsid w:val="64D272F5"/>
    <w:rsid w:val="6527610D"/>
    <w:rsid w:val="66686491"/>
    <w:rsid w:val="6B0A3E88"/>
    <w:rsid w:val="6C7531FE"/>
    <w:rsid w:val="6C783488"/>
    <w:rsid w:val="6CC10BB4"/>
    <w:rsid w:val="6DCE2536"/>
    <w:rsid w:val="6F666DD4"/>
    <w:rsid w:val="71505831"/>
    <w:rsid w:val="71BB6A1B"/>
    <w:rsid w:val="71C13613"/>
    <w:rsid w:val="73367908"/>
    <w:rsid w:val="739103F2"/>
    <w:rsid w:val="74CF4EC9"/>
    <w:rsid w:val="74DA7E66"/>
    <w:rsid w:val="75EA4FE2"/>
    <w:rsid w:val="767B290A"/>
    <w:rsid w:val="773211E7"/>
    <w:rsid w:val="782E03E1"/>
    <w:rsid w:val="793373F9"/>
    <w:rsid w:val="797446B4"/>
    <w:rsid w:val="79921C19"/>
    <w:rsid w:val="79E47AF0"/>
    <w:rsid w:val="7CDB0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2024-09-05T07:44:00Z</dcterms:created>
  <dc:creator>Administrator</dc:creator>
  <cp:lastModifiedBy>Administrator</cp:lastModifiedBy>
  <dcterms:modified xsi:type="dcterms:W3CDTF">2024-10-09T07:24:28Z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3AC5ADAAFB784B7E962250FEA895A78A</vt:lpwstr>
  </property>
</Properties>
</file>