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beforeLines="50" w:after="156" w:afterLines="50" w:line="400" w:lineRule="exact"/>
        <w:jc w:val="left"/>
        <w:rPr>
          <w:rFonts w:ascii="宋体" w:hAnsi="宋体" w:cs="宋体"/>
          <w:b/>
          <w:bCs/>
          <w:kern w:val="0"/>
          <w:sz w:val="24"/>
        </w:rPr>
      </w:pPr>
      <w:r>
        <w:rPr>
          <w:rFonts w:hint="eastAsia" w:ascii="宋体" w:hAnsi="宋体" w:cs="宋体"/>
          <w:b/>
          <w:bCs/>
          <w:kern w:val="0"/>
          <w:sz w:val="24"/>
        </w:rPr>
        <w:t>附件：拟转让</w:t>
      </w:r>
      <w:r>
        <w:rPr>
          <w:rFonts w:ascii="宋体" w:hAnsi="宋体" w:cs="宋体"/>
          <w:b/>
          <w:bCs/>
          <w:kern w:val="0"/>
          <w:sz w:val="24"/>
        </w:rPr>
        <w:t>专利</w:t>
      </w:r>
      <w:r>
        <w:rPr>
          <w:rFonts w:hint="eastAsia" w:ascii="宋体" w:hAnsi="宋体" w:cs="宋体"/>
          <w:b/>
          <w:bCs/>
          <w:kern w:val="0"/>
          <w:sz w:val="24"/>
        </w:rPr>
        <w:t>简介</w:t>
      </w:r>
    </w:p>
    <w:p>
      <w:pPr>
        <w:spacing w:before="91" w:line="419" w:lineRule="exact"/>
        <w:jc w:val="both"/>
        <w:rPr>
          <w:rFonts w:ascii="Times New Roman" w:hAnsi="Times New Roman" w:cs="Times New Roman" w:eastAsiaTheme="minorEastAsia"/>
          <w:spacing w:val="-1"/>
          <w:position w:val="5"/>
          <w:sz w:val="24"/>
          <w:szCs w:val="24"/>
        </w:rPr>
      </w:pPr>
    </w:p>
    <w:p>
      <w:pPr>
        <w:spacing w:before="78" w:line="222" w:lineRule="auto"/>
        <w:ind w:left="37"/>
        <w:jc w:val="center"/>
        <w:rPr>
          <w:rFonts w:hint="eastAsia" w:ascii="Calibri" w:hAnsi="Calibri" w:eastAsia="Arial" w:cs="Arial"/>
          <w:b/>
          <w:szCs w:val="22"/>
        </w:rPr>
      </w:pPr>
      <w:r>
        <w:rPr>
          <w:rFonts w:hint="eastAsia" w:ascii="Calibri" w:hAnsi="Calibri"/>
          <w:b/>
          <w:szCs w:val="22"/>
        </w:rPr>
        <w:t>专利一、</w:t>
      </w:r>
      <w:r>
        <w:rPr>
          <w:rFonts w:hint="eastAsia" w:ascii="Calibri" w:hAnsi="Calibri" w:eastAsia="Arial" w:cs="Arial"/>
          <w:b/>
          <w:szCs w:val="22"/>
        </w:rPr>
        <w:t>一种 CoN 析氧和氧还原电催化剂制备方法</w:t>
      </w:r>
    </w:p>
    <w:p>
      <w:pPr>
        <w:spacing w:before="78" w:line="222" w:lineRule="auto"/>
        <w:ind w:left="37"/>
        <w:jc w:val="center"/>
        <w:rPr>
          <w:rFonts w:hint="eastAsia" w:ascii="Calibri" w:hAnsi="Calibri" w:eastAsia="Arial" w:cs="Arial"/>
          <w:b/>
          <w:szCs w:val="22"/>
        </w:rPr>
      </w:pPr>
    </w:p>
    <w:p>
      <w:pPr>
        <w:spacing w:line="360" w:lineRule="auto"/>
        <w:ind w:firstLine="420" w:firstLineChars="200"/>
        <w:rPr>
          <w:rFonts w:ascii="宋体" w:hAnsi="宋体"/>
          <w:b/>
          <w:szCs w:val="21"/>
        </w:rPr>
      </w:pPr>
      <w:r>
        <w:rPr>
          <w:rFonts w:hint="eastAsia" w:ascii="宋体" w:hAnsi="宋体"/>
          <w:b/>
          <w:szCs w:val="21"/>
          <w:lang w:val="en-US" w:eastAsia="zh-CN"/>
        </w:rPr>
        <w:t>一、</w:t>
      </w:r>
      <w:r>
        <w:rPr>
          <w:rFonts w:ascii="宋体" w:hAnsi="宋体"/>
          <w:b/>
          <w:szCs w:val="21"/>
        </w:rPr>
        <w:t>技术领域</w:t>
      </w:r>
      <w:bookmarkStart w:id="0" w:name="_GoBack"/>
      <w:bookmarkEnd w:id="0"/>
    </w:p>
    <w:p>
      <w:pPr>
        <w:widowControl w:val="0"/>
        <w:kinsoku/>
        <w:autoSpaceDE/>
        <w:autoSpaceDN/>
        <w:adjustRightInd/>
        <w:snapToGrid/>
        <w:spacing w:line="360" w:lineRule="auto"/>
        <w:ind w:firstLine="420" w:firstLineChars="200"/>
        <w:jc w:val="both"/>
        <w:textAlignment w:val="auto"/>
        <w:rPr>
          <w:rFonts w:hint="eastAsia" w:ascii="宋体" w:hAnsi="宋体" w:eastAsia="宋体" w:cs="Times New Roman"/>
          <w:snapToGrid/>
          <w:kern w:val="2"/>
          <w:szCs w:val="21"/>
        </w:rPr>
      </w:pPr>
      <w:r>
        <w:rPr>
          <w:rFonts w:hint="eastAsia" w:ascii="宋体" w:hAnsi="宋体" w:eastAsia="宋体" w:cs="Times New Roman"/>
          <w:snapToGrid/>
          <w:kern w:val="2"/>
          <w:szCs w:val="21"/>
        </w:rPr>
        <w:t>本发明涉及金属</w:t>
      </w:r>
      <w:r>
        <w:rPr>
          <w:rFonts w:hint="eastAsia" w:ascii="宋体" w:hAnsi="宋体" w:eastAsia="宋体" w:cs="Times New Roman"/>
          <w:snapToGrid/>
          <w:kern w:val="2"/>
          <w:szCs w:val="21"/>
        </w:rPr>
        <w:noBreakHyphen/>
      </w:r>
      <w:r>
        <w:rPr>
          <w:rFonts w:hint="eastAsia" w:ascii="宋体" w:hAnsi="宋体" w:eastAsia="宋体" w:cs="Times New Roman"/>
          <w:snapToGrid/>
          <w:kern w:val="2"/>
          <w:szCs w:val="21"/>
        </w:rPr>
        <w:t>空气电池技术领域，具体为一种CoN析氧和氧还原电催化剂的制备方法，本发明通过水热及低温氮化处理的方法得到CoN催化材料，所述水热是将钴生长在碳布上，获得Co LDH前驱体；将所述钴基前驱体在氨气气氛下进行低温氮化处理。本发明制备方法简单，在碱性条件下具有优异的电催化析氧和氧还原性能，其作为空气阴极组装锌</w:t>
      </w:r>
      <w:r>
        <w:rPr>
          <w:rFonts w:hint="eastAsia" w:ascii="宋体" w:hAnsi="宋体" w:eastAsia="宋体" w:cs="Times New Roman"/>
          <w:snapToGrid/>
          <w:kern w:val="2"/>
          <w:szCs w:val="21"/>
        </w:rPr>
        <w:noBreakHyphen/>
      </w:r>
      <w:r>
        <w:rPr>
          <w:rFonts w:hint="eastAsia" w:ascii="宋体" w:hAnsi="宋体" w:eastAsia="宋体" w:cs="Times New Roman"/>
          <w:snapToGrid/>
          <w:kern w:val="2"/>
          <w:szCs w:val="21"/>
        </w:rPr>
        <w:t>空气电池时，表现出良好的长期稳定性和可观的功率密度，在锌</w:t>
      </w:r>
      <w:r>
        <w:rPr>
          <w:rFonts w:hint="eastAsia" w:ascii="宋体" w:hAnsi="宋体" w:eastAsia="宋体" w:cs="Times New Roman"/>
          <w:snapToGrid/>
          <w:kern w:val="2"/>
          <w:szCs w:val="21"/>
        </w:rPr>
        <w:noBreakHyphen/>
      </w:r>
      <w:r>
        <w:rPr>
          <w:rFonts w:hint="eastAsia" w:ascii="宋体" w:hAnsi="宋体" w:eastAsia="宋体" w:cs="Times New Roman"/>
          <w:snapToGrid/>
          <w:kern w:val="2"/>
          <w:szCs w:val="21"/>
        </w:rPr>
        <w:t>空气电池方面展现出了实际应用潜力。</w:t>
      </w:r>
    </w:p>
    <w:p>
      <w:pPr>
        <w:spacing w:line="360" w:lineRule="auto"/>
        <w:ind w:firstLine="420" w:firstLineChars="200"/>
        <w:rPr>
          <w:rFonts w:ascii="宋体" w:hAnsi="宋体"/>
          <w:b/>
          <w:szCs w:val="21"/>
        </w:rPr>
      </w:pPr>
      <w:r>
        <w:rPr>
          <w:rFonts w:hint="eastAsia" w:ascii="宋体" w:hAnsi="宋体"/>
          <w:b/>
          <w:szCs w:val="21"/>
          <w:lang w:val="en-US" w:eastAsia="zh-CN"/>
        </w:rPr>
        <w:t>二、</w:t>
      </w:r>
      <w:r>
        <w:rPr>
          <w:rFonts w:ascii="宋体" w:hAnsi="宋体"/>
          <w:b/>
          <w:szCs w:val="21"/>
        </w:rPr>
        <w:t>背景技术</w:t>
      </w:r>
    </w:p>
    <w:p>
      <w:pPr>
        <w:widowControl w:val="0"/>
        <w:kinsoku/>
        <w:autoSpaceDE/>
        <w:autoSpaceDN/>
        <w:adjustRightInd/>
        <w:snapToGrid/>
        <w:spacing w:line="360" w:lineRule="auto"/>
        <w:ind w:firstLine="420" w:firstLineChars="200"/>
        <w:jc w:val="both"/>
        <w:textAlignment w:val="auto"/>
        <w:rPr>
          <w:rFonts w:hint="eastAsia" w:ascii="宋体" w:hAnsi="宋体" w:eastAsia="宋体" w:cs="Times New Roman"/>
          <w:snapToGrid/>
          <w:kern w:val="2"/>
          <w:szCs w:val="21"/>
        </w:rPr>
      </w:pPr>
      <w:r>
        <w:rPr>
          <w:rFonts w:hint="eastAsia" w:ascii="宋体" w:hAnsi="宋体" w:eastAsia="宋体" w:cs="Times New Roman"/>
          <w:snapToGrid/>
          <w:kern w:val="2"/>
          <w:szCs w:val="21"/>
        </w:rPr>
        <w:t>开发高效非贵金属基析氧和氧还原电催化剂是提高锌-空气电池的必由之路。尽管科学家们付出了巨大的努力，氧析出和氧还原的缓慢动力学仍限制锌-空气电池的实际应用。近年来，地球上丰富的过渡金属引起科学家们的广泛关注和研究，其中钌和铂基电催化剂分别在氧析出和氧还原反应中表现出优异的电催化性能，但稀缺性、稳定性差、高成本等缺点限制其大规模商业应用。因此，开发低成本、高效、地球储量丰富的非贵金属基催化剂对可充电锌-空气电池具有重要意义。</w:t>
      </w:r>
    </w:p>
    <w:p>
      <w:pPr>
        <w:widowControl w:val="0"/>
        <w:kinsoku/>
        <w:autoSpaceDE/>
        <w:autoSpaceDN/>
        <w:adjustRightInd/>
        <w:snapToGrid/>
        <w:spacing w:line="360" w:lineRule="auto"/>
        <w:ind w:firstLine="420" w:firstLineChars="200"/>
        <w:jc w:val="both"/>
        <w:textAlignment w:val="auto"/>
        <w:rPr>
          <w:rFonts w:hint="eastAsia" w:ascii="宋体" w:hAnsi="宋体" w:eastAsia="宋体" w:cs="Times New Roman"/>
          <w:snapToGrid/>
          <w:kern w:val="2"/>
          <w:szCs w:val="21"/>
        </w:rPr>
      </w:pPr>
      <w:r>
        <w:rPr>
          <w:rFonts w:hint="eastAsia" w:ascii="宋体" w:hAnsi="宋体"/>
          <w:b/>
          <w:szCs w:val="21"/>
          <w:lang w:val="en-US" w:eastAsia="zh-CN"/>
        </w:rPr>
        <w:t>三、</w:t>
      </w:r>
      <w:r>
        <w:rPr>
          <w:rFonts w:ascii="宋体" w:hAnsi="宋体"/>
          <w:b/>
          <w:szCs w:val="21"/>
        </w:rPr>
        <w:t>发明内容</w:t>
      </w:r>
    </w:p>
    <w:p>
      <w:pPr>
        <w:widowControl w:val="0"/>
        <w:kinsoku/>
        <w:autoSpaceDE/>
        <w:autoSpaceDN/>
        <w:adjustRightInd/>
        <w:snapToGrid/>
        <w:spacing w:line="360" w:lineRule="auto"/>
        <w:ind w:firstLine="420" w:firstLineChars="200"/>
        <w:jc w:val="both"/>
        <w:textAlignment w:val="auto"/>
        <w:rPr>
          <w:rFonts w:hint="eastAsia" w:ascii="宋体" w:hAnsi="宋体" w:eastAsia="宋体" w:cs="Times New Roman"/>
          <w:snapToGrid/>
          <w:kern w:val="2"/>
          <w:szCs w:val="21"/>
        </w:rPr>
      </w:pPr>
      <w:r>
        <w:rPr>
          <w:rFonts w:hint="eastAsia" w:ascii="宋体" w:hAnsi="宋体" w:eastAsia="宋体" w:cs="Times New Roman"/>
          <w:snapToGrid/>
          <w:kern w:val="2"/>
          <w:szCs w:val="21"/>
        </w:rPr>
        <w:t>本发明的目的在于提供一种CoN析氧和氧还原电催化剂制备方法，解决上述背景技术中提出的问题。</w:t>
      </w:r>
    </w:p>
    <w:p>
      <w:pPr>
        <w:widowControl w:val="0"/>
        <w:kinsoku/>
        <w:autoSpaceDE/>
        <w:autoSpaceDN/>
        <w:adjustRightInd/>
        <w:snapToGrid/>
        <w:spacing w:line="360" w:lineRule="auto"/>
        <w:ind w:firstLine="420" w:firstLineChars="200"/>
        <w:jc w:val="both"/>
        <w:textAlignment w:val="auto"/>
        <w:rPr>
          <w:rFonts w:hint="eastAsia" w:ascii="宋体" w:hAnsi="宋体" w:eastAsia="宋体" w:cs="Times New Roman"/>
          <w:snapToGrid/>
          <w:kern w:val="2"/>
          <w:szCs w:val="21"/>
        </w:rPr>
      </w:pPr>
      <w:r>
        <w:rPr>
          <w:rFonts w:hint="eastAsia" w:ascii="宋体" w:hAnsi="宋体" w:eastAsia="宋体" w:cs="Times New Roman"/>
          <w:snapToGrid/>
          <w:kern w:val="2"/>
          <w:szCs w:val="21"/>
        </w:rPr>
        <w:t>为实现上述目的，本发明提供如下技术方案：一种CoN析氧和氧还原电催化剂制备方法，包括水热反应和低温氮化处理的方法得到CoN材料，所述水热反应是以碳布为基底生长出钴基前驱体；将所述钴基前驱体在氨气气氛下进行低温氮化处理得到所述CoN材料。</w:t>
      </w:r>
    </w:p>
    <w:p>
      <w:pPr>
        <w:spacing w:before="68" w:line="241" w:lineRule="auto"/>
        <w:ind w:right="80"/>
        <w:jc w:val="both"/>
        <w:rPr>
          <w:rFonts w:ascii="Times New Roman" w:hAnsi="Times New Roman" w:cs="Times New Roman" w:eastAsiaTheme="minorEastAsia"/>
          <w:spacing w:val="-5"/>
          <w:sz w:val="24"/>
          <w:szCs w:val="24"/>
        </w:rPr>
      </w:pPr>
    </w:p>
    <w:p>
      <w:pPr>
        <w:spacing w:before="68" w:line="241" w:lineRule="auto"/>
        <w:ind w:right="80"/>
        <w:jc w:val="both"/>
        <w:rPr>
          <w:rFonts w:hint="eastAsia" w:ascii="Times New Roman" w:hAnsi="Times New Roman" w:cs="Times New Roman" w:eastAsiaTheme="minorEastAsia"/>
          <w:spacing w:val="-5"/>
          <w:sz w:val="24"/>
          <w:szCs w:val="24"/>
        </w:rPr>
      </w:pPr>
    </w:p>
    <w:p>
      <w:pPr>
        <w:spacing w:before="78" w:line="222" w:lineRule="auto"/>
        <w:ind w:left="37"/>
        <w:jc w:val="center"/>
        <w:rPr>
          <w:rFonts w:hint="eastAsia" w:ascii="Calibri" w:hAnsi="Calibri" w:eastAsia="Arial" w:cs="Arial"/>
          <w:b/>
          <w:szCs w:val="22"/>
        </w:rPr>
      </w:pPr>
      <w:r>
        <w:rPr>
          <w:rFonts w:hint="eastAsia" w:ascii="Calibri" w:hAnsi="Calibri"/>
          <w:b/>
          <w:szCs w:val="22"/>
        </w:rPr>
        <w:t>专利</w:t>
      </w:r>
      <w:r>
        <w:rPr>
          <w:rFonts w:hint="eastAsia" w:ascii="Calibri" w:hAnsi="Calibri" w:eastAsia="宋体"/>
          <w:b/>
          <w:szCs w:val="22"/>
          <w:lang w:val="en-US" w:eastAsia="zh-CN"/>
        </w:rPr>
        <w:t>二</w:t>
      </w:r>
      <w:r>
        <w:rPr>
          <w:rFonts w:hint="eastAsia" w:ascii="Calibri" w:hAnsi="Calibri"/>
          <w:b/>
          <w:szCs w:val="22"/>
        </w:rPr>
        <w:t>、</w:t>
      </w:r>
      <w:r>
        <w:rPr>
          <w:rFonts w:hint="eastAsia" w:ascii="Calibri" w:hAnsi="Calibri" w:eastAsia="Arial" w:cs="Arial"/>
          <w:b/>
          <w:szCs w:val="22"/>
        </w:rPr>
        <w:t>一种 Co5.47N/CoMoOx析氢电催化剂制备方法</w:t>
      </w:r>
    </w:p>
    <w:p>
      <w:pPr>
        <w:spacing w:before="78" w:line="222" w:lineRule="auto"/>
        <w:ind w:left="37"/>
        <w:jc w:val="center"/>
        <w:rPr>
          <w:rFonts w:hint="eastAsia" w:ascii="Calibri" w:hAnsi="Calibri" w:eastAsia="Arial" w:cs="Arial"/>
          <w:b/>
          <w:szCs w:val="22"/>
        </w:rPr>
      </w:pPr>
    </w:p>
    <w:p>
      <w:pPr>
        <w:spacing w:line="360" w:lineRule="auto"/>
        <w:ind w:firstLine="420" w:firstLineChars="200"/>
        <w:rPr>
          <w:rFonts w:ascii="宋体" w:hAnsi="宋体"/>
          <w:b/>
          <w:szCs w:val="21"/>
        </w:rPr>
      </w:pPr>
      <w:r>
        <w:rPr>
          <w:rFonts w:hint="eastAsia" w:ascii="宋体" w:hAnsi="宋体"/>
          <w:b/>
          <w:szCs w:val="21"/>
          <w:lang w:val="en-US" w:eastAsia="zh-CN"/>
        </w:rPr>
        <w:t>一、</w:t>
      </w:r>
      <w:r>
        <w:rPr>
          <w:rFonts w:ascii="宋体" w:hAnsi="宋体"/>
          <w:b/>
          <w:szCs w:val="21"/>
        </w:rPr>
        <w:t>技术领域</w:t>
      </w:r>
    </w:p>
    <w:p>
      <w:pPr>
        <w:widowControl w:val="0"/>
        <w:kinsoku/>
        <w:autoSpaceDE/>
        <w:autoSpaceDN/>
        <w:adjustRightInd/>
        <w:snapToGrid/>
        <w:spacing w:line="360" w:lineRule="auto"/>
        <w:ind w:firstLine="420" w:firstLineChars="200"/>
        <w:jc w:val="both"/>
        <w:textAlignment w:val="auto"/>
        <w:rPr>
          <w:rFonts w:hint="eastAsia" w:ascii="宋体" w:hAnsi="宋体" w:eastAsia="宋体" w:cs="Times New Roman"/>
          <w:snapToGrid/>
          <w:kern w:val="2"/>
          <w:szCs w:val="21"/>
        </w:rPr>
      </w:pPr>
      <w:r>
        <w:rPr>
          <w:rFonts w:hint="eastAsia" w:ascii="宋体" w:hAnsi="宋体" w:eastAsia="宋体" w:cs="Times New Roman"/>
          <w:snapToGrid/>
          <w:kern w:val="2"/>
          <w:szCs w:val="21"/>
        </w:rPr>
        <w:t>本发明涉及电催化析氢反应领域，具体为一种Co5.47N/CoMoOx析氢电催化剂制备方法，通过水热反应和氮化处理的方法得到的Co5.47N/CoMoOx复合材料，所述水热反应是将Co3O4/CoMoO4生长在碳布上，获得Co</w:t>
      </w:r>
      <w:r>
        <w:rPr>
          <w:rFonts w:hint="eastAsia" w:ascii="宋体" w:hAnsi="宋体" w:eastAsia="宋体" w:cs="Times New Roman"/>
          <w:snapToGrid/>
          <w:kern w:val="2"/>
          <w:szCs w:val="21"/>
        </w:rPr>
        <w:noBreakHyphen/>
      </w:r>
      <w:r>
        <w:rPr>
          <w:rFonts w:hint="eastAsia" w:ascii="宋体" w:hAnsi="宋体" w:eastAsia="宋体" w:cs="Times New Roman"/>
          <w:snapToGrid/>
          <w:kern w:val="2"/>
          <w:szCs w:val="21"/>
        </w:rPr>
        <w:t>Mo前驱体；将所述Co</w:t>
      </w:r>
      <w:r>
        <w:rPr>
          <w:rFonts w:hint="eastAsia" w:ascii="宋体" w:hAnsi="宋体" w:eastAsia="宋体" w:cs="Times New Roman"/>
          <w:snapToGrid/>
          <w:kern w:val="2"/>
          <w:szCs w:val="21"/>
        </w:rPr>
        <w:noBreakHyphen/>
      </w:r>
      <w:r>
        <w:rPr>
          <w:rFonts w:hint="eastAsia" w:ascii="宋体" w:hAnsi="宋体" w:eastAsia="宋体" w:cs="Times New Roman"/>
          <w:snapToGrid/>
          <w:kern w:val="2"/>
          <w:szCs w:val="21"/>
        </w:rPr>
        <w:t>Mo前驱体在氨气（NH3）气氛下进行氮化处理。本发明制备方法简单，通过以碳布为基底进行水热以及氮化处理得到Co5.47N/CoMoOx复合材料，在碱性的条件下具有优异的电催化析氢性能，并表现出快速的电荷转移速率和良好的长期稳定性。</w:t>
      </w:r>
    </w:p>
    <w:p>
      <w:pPr>
        <w:spacing w:line="360" w:lineRule="auto"/>
        <w:ind w:firstLine="420" w:firstLineChars="200"/>
        <w:rPr>
          <w:rFonts w:ascii="宋体" w:hAnsi="宋体"/>
          <w:b/>
          <w:szCs w:val="21"/>
        </w:rPr>
      </w:pPr>
      <w:r>
        <w:rPr>
          <w:rFonts w:hint="eastAsia" w:ascii="宋体" w:hAnsi="宋体"/>
          <w:b/>
          <w:szCs w:val="21"/>
          <w:lang w:val="en-US" w:eastAsia="zh-CN"/>
        </w:rPr>
        <w:t>二、</w:t>
      </w:r>
      <w:r>
        <w:rPr>
          <w:rFonts w:ascii="宋体" w:hAnsi="宋体"/>
          <w:b/>
          <w:szCs w:val="21"/>
        </w:rPr>
        <w:t>背景技术</w:t>
      </w:r>
    </w:p>
    <w:p>
      <w:pPr>
        <w:widowControl w:val="0"/>
        <w:kinsoku/>
        <w:autoSpaceDE/>
        <w:autoSpaceDN/>
        <w:adjustRightInd/>
        <w:snapToGrid/>
        <w:spacing w:line="360" w:lineRule="auto"/>
        <w:ind w:firstLine="420" w:firstLineChars="200"/>
        <w:jc w:val="both"/>
        <w:textAlignment w:val="auto"/>
        <w:rPr>
          <w:rFonts w:hint="eastAsia" w:ascii="宋体" w:hAnsi="宋体" w:eastAsia="宋体" w:cs="Times New Roman"/>
          <w:snapToGrid/>
          <w:kern w:val="2"/>
          <w:szCs w:val="21"/>
        </w:rPr>
      </w:pPr>
      <w:r>
        <w:rPr>
          <w:rFonts w:hint="eastAsia" w:ascii="宋体" w:hAnsi="宋体" w:eastAsia="宋体" w:cs="Times New Roman"/>
          <w:snapToGrid/>
          <w:kern w:val="2"/>
          <w:szCs w:val="21"/>
        </w:rPr>
        <w:t>随着社会的快速发展，化石能源的消耗愈来愈大。然而，由于化石能源均为不可再生资源，以及化石能源的燃烧会排放出温室气体和有毒气体，从而污染大气环境。这些不良因素严重地阻碍了社会的可持续发展。因此，开发绿色环保的新能源来取代传统的化石能源刻不容缓。其中，氢能具有高能量密度、无碳和可持续的优点，被认为是代替传统化石燃料的有前景的新能源。电催化水分解制氢为缓解紧迫的环境污染和能源危机提供了一种理想的方法。然而，析氢反应（HER）的反应动力学缓慢，限制了电解水技术的催化效率，进而增加了电力消耗。为了解决上述问题，通常需要贵金属Pt加速反应动力学，提高催化效率。但是，由于其高成本和稀缺性阻碍了它的广泛应用。因此，有必要开发一种高效、稳定和廉价的非贵金属析氢电催化剂来加快HER反应的固有缓慢动力学。</w:t>
      </w:r>
    </w:p>
    <w:p>
      <w:pPr>
        <w:widowControl w:val="0"/>
        <w:numPr>
          <w:ilvl w:val="0"/>
          <w:numId w:val="1"/>
        </w:numPr>
        <w:kinsoku/>
        <w:autoSpaceDE/>
        <w:autoSpaceDN/>
        <w:adjustRightInd/>
        <w:snapToGrid/>
        <w:spacing w:line="360" w:lineRule="auto"/>
        <w:ind w:firstLine="420" w:firstLineChars="200"/>
        <w:jc w:val="both"/>
        <w:textAlignment w:val="auto"/>
        <w:rPr>
          <w:rFonts w:ascii="宋体" w:hAnsi="宋体"/>
          <w:b/>
          <w:szCs w:val="21"/>
        </w:rPr>
      </w:pPr>
      <w:r>
        <w:rPr>
          <w:rFonts w:ascii="宋体" w:hAnsi="宋体"/>
          <w:b/>
          <w:szCs w:val="21"/>
        </w:rPr>
        <w:t>发明内容</w:t>
      </w:r>
    </w:p>
    <w:p>
      <w:pPr>
        <w:widowControl w:val="0"/>
        <w:numPr>
          <w:numId w:val="0"/>
        </w:numPr>
        <w:kinsoku/>
        <w:autoSpaceDE/>
        <w:autoSpaceDN/>
        <w:adjustRightInd/>
        <w:snapToGrid/>
        <w:spacing w:line="360" w:lineRule="auto"/>
        <w:ind w:firstLine="210" w:firstLineChars="100"/>
        <w:jc w:val="both"/>
        <w:textAlignment w:val="auto"/>
        <w:rPr>
          <w:rFonts w:hint="eastAsia" w:ascii="宋体" w:hAnsi="宋体" w:eastAsia="宋体" w:cs="Times New Roman"/>
          <w:snapToGrid/>
          <w:kern w:val="2"/>
          <w:szCs w:val="21"/>
        </w:rPr>
      </w:pPr>
      <w:r>
        <w:rPr>
          <w:rFonts w:hint="eastAsia" w:ascii="宋体" w:hAnsi="宋体" w:eastAsia="宋体" w:cs="Times New Roman"/>
          <w:snapToGrid/>
          <w:kern w:val="2"/>
          <w:szCs w:val="21"/>
        </w:rPr>
        <w:t>本发明的目的在于提供一种Co5.47N/CoMoOx析氢电催化剂制备方法，解决上述背景技术中提出的问题。</w:t>
      </w:r>
    </w:p>
    <w:p>
      <w:pPr>
        <w:widowControl w:val="0"/>
        <w:kinsoku/>
        <w:autoSpaceDE/>
        <w:autoSpaceDN/>
        <w:adjustRightInd/>
        <w:snapToGrid/>
        <w:spacing w:line="360" w:lineRule="auto"/>
        <w:ind w:firstLine="420" w:firstLineChars="200"/>
        <w:jc w:val="both"/>
        <w:textAlignment w:val="auto"/>
        <w:rPr>
          <w:rFonts w:hint="eastAsia" w:ascii="宋体" w:hAnsi="宋体" w:eastAsia="宋体" w:cs="Times New Roman"/>
          <w:snapToGrid/>
          <w:kern w:val="2"/>
          <w:szCs w:val="21"/>
        </w:rPr>
      </w:pPr>
      <w:r>
        <w:rPr>
          <w:rFonts w:hint="eastAsia" w:ascii="宋体" w:hAnsi="宋体" w:eastAsia="宋体" w:cs="Times New Roman"/>
          <w:snapToGrid/>
          <w:kern w:val="2"/>
          <w:szCs w:val="21"/>
        </w:rPr>
        <w:t>为实现上述目的，本发明提供如下技术方案：一种Co5.47N/CoMoOx析氢电催化剂制备方法，包括水热反应和氮化处理的方法得到的Co5.47N/CoMoOx复合材料；其中，以碳布为基底通过所述水热反应生长Co-Mo前驱体；将所述Co-Mo前驱体在NH3气氛下进行氮化处理得到Co5.47N/CoMoOx复合材料。</w:t>
      </w:r>
    </w:p>
    <w:sectPr>
      <w:headerReference r:id="rId3" w:type="default"/>
      <w:footerReference r:id="rId4" w:type="default"/>
      <w:pgSz w:w="11900" w:h="16840"/>
      <w:pgMar w:top="1106" w:right="1269" w:bottom="400" w:left="1275" w:header="713"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20" w:lineRule="auto"/>
      <w:ind w:left="3992"/>
      <w:rPr>
        <w:rFonts w:ascii="黑体" w:hAnsi="黑体" w:eastAsia="黑体" w:cs="黑体"/>
        <w:sz w:val="28"/>
        <w:szCs w:val="28"/>
      </w:rPr>
    </w:pPr>
    <w:r>
      <mc:AlternateContent>
        <mc:Choice Requires="wps">
          <w:drawing>
            <wp:anchor distT="0" distB="0" distL="114300" distR="114300" simplePos="0" relativeHeight="251660288" behindDoc="0" locked="0" layoutInCell="1" allowOverlap="1">
              <wp:simplePos x="0" y="0"/>
              <wp:positionH relativeFrom="column">
                <wp:posOffset>5546090</wp:posOffset>
              </wp:positionH>
              <wp:positionV relativeFrom="paragraph">
                <wp:posOffset>60960</wp:posOffset>
              </wp:positionV>
              <wp:extent cx="388620" cy="186055"/>
              <wp:effectExtent l="2540" t="3810" r="0" b="635"/>
              <wp:wrapNone/>
              <wp:docPr id="2"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388620" cy="186055"/>
                      </a:xfrm>
                      <a:prstGeom prst="rect">
                        <a:avLst/>
                      </a:prstGeom>
                      <a:noFill/>
                      <a:ln>
                        <a:noFill/>
                      </a:ln>
                    </wps:spPr>
                    <wps:txbx>
                      <w:txbxContent>
                        <w:p>
                          <w:pPr>
                            <w:spacing w:before="20" w:line="222" w:lineRule="auto"/>
                            <w:rPr>
                              <w:rFonts w:ascii="宋体" w:hAnsi="宋体" w:eastAsia="宋体" w:cs="宋体"/>
                            </w:rPr>
                          </w:pPr>
                        </w:p>
                      </w:txbxContent>
                    </wps:txbx>
                    <wps:bodyPr rot="0" vert="horz" wrap="square" lIns="0" tIns="0" rIns="0" bIns="0" anchor="t" anchorCtr="0" upright="1">
                      <a:noAutofit/>
                    </wps:bodyPr>
                  </wps:wsp>
                </a:graphicData>
              </a:graphic>
            </wp:anchor>
          </w:drawing>
        </mc:Choice>
        <mc:Fallback>
          <w:pict>
            <v:shape id="Text Box 1025" o:spid="_x0000_s1026" o:spt="202" type="#_x0000_t202" style="position:absolute;left:0pt;margin-left:436.7pt;margin-top:4.8pt;height:14.65pt;width:30.6pt;z-index:251660288;mso-width-relative:page;mso-height-relative:page;" filled="f" stroked="f" coordsize="21600,21600" o:gfxdata="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8saydgAAAAIAQAADwAAAAAAAAABACAAAAAiAAAAZHJzL2Rvd25y&#10;ZXYueG1sUEsBAhQAFAAAAAgAh07iQLz+Bpr+AQAABgQAAA4AAAAAAAAAAQAgAAAAJwEAAGRycy9l&#10;Mm9Eb2MueG1sUEsFBgAAAAAGAAYAWQEAAJcFAAAAAA==&#10;">
              <v:fill on="f" focussize="0,0"/>
              <v:stroke on="f"/>
              <v:imagedata o:title=""/>
              <o:lock v:ext="edit" aspectratio="f"/>
              <v:textbox inset="0mm,0mm,0mm,0mm">
                <w:txbxContent>
                  <w:p>
                    <w:pPr>
                      <w:spacing w:before="20" w:line="222" w:lineRule="auto"/>
                      <w:rPr>
                        <w:rFonts w:ascii="宋体" w:hAnsi="宋体" w:eastAsia="宋体" w:cs="宋体"/>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80645</wp:posOffset>
              </wp:positionV>
              <wp:extent cx="955040" cy="160020"/>
              <wp:effectExtent l="1270" t="4445"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955040" cy="160020"/>
                      </a:xfrm>
                      <a:prstGeom prst="rect">
                        <a:avLst/>
                      </a:prstGeom>
                      <a:noFill/>
                      <a:ln>
                        <a:noFill/>
                      </a:ln>
                    </wps:spPr>
                    <wps:txbx>
                      <w:txbxContent>
                        <w:p>
                          <w:pPr>
                            <w:spacing w:before="19" w:line="186" w:lineRule="auto"/>
                            <w:ind w:left="20"/>
                            <w:rPr>
                              <w:rFonts w:ascii="宋体" w:hAnsi="宋体" w:eastAsia="宋体" w:cs="宋体"/>
                            </w:rPr>
                          </w:pPr>
                        </w:p>
                      </w:txbxContent>
                    </wps:txbx>
                    <wps:bodyPr rot="0" vert="horz" wrap="square" lIns="0" tIns="0" rIns="0" bIns="0" anchor="t" anchorCtr="0" upright="1">
                      <a:noAutofit/>
                    </wps:bodyPr>
                  </wps:wsp>
                </a:graphicData>
              </a:graphic>
            </wp:anchor>
          </w:drawing>
        </mc:Choice>
        <mc:Fallback>
          <w:pict>
            <v:shape id="Text Box 1026" o:spid="_x0000_s1026" o:spt="202" type="#_x0000_t202" style="position:absolute;left:0pt;margin-left:-0.65pt;margin-top:6.35pt;height:12.6pt;width:75.2pt;z-index:251659264;mso-width-relative:page;mso-height-relative:page;" filled="f" stroked="f" coordsize="21600,21600" o:gfxdata="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hkl19gAAAAIAQAADwAAAAAAAAABACAAAAAiAAAAZHJzL2Rvd25y&#10;ZXYueG1sUEsBAhQAFAAAAAgAh07iQAhUpvn+AQAABgQAAA4AAAAAAAAAAQAgAAAAJwEAAGRycy9l&#10;Mm9Eb2MueG1sUEsFBgAAAAAGAAYAWQEAAJcFAAAAAA==&#10;">
              <v:fill on="f" focussize="0,0"/>
              <v:stroke on="f"/>
              <v:imagedata o:title=""/>
              <o:lock v:ext="edit" aspectratio="f"/>
              <v:textbox inset="0mm,0mm,0mm,0mm">
                <w:txbxContent>
                  <w:p>
                    <w:pPr>
                      <w:spacing w:before="19" w:line="186" w:lineRule="auto"/>
                      <w:ind w:left="20"/>
                      <w:rPr>
                        <w:rFonts w:ascii="宋体" w:hAnsi="宋体" w:eastAsia="宋体" w:cs="宋体"/>
                      </w:rPr>
                    </w:pPr>
                  </w:p>
                </w:txbxContent>
              </v:textbox>
            </v:shape>
          </w:pict>
        </mc:Fallback>
      </mc:AlternateContent>
    </w:r>
  </w:p>
  <w:p>
    <w:pPr>
      <w:spacing w:before="37" w:line="20" w:lineRule="exact"/>
      <w:textAlignment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9A46AF"/>
    <w:multiLevelType w:val="singleLevel"/>
    <w:tmpl w:val="B79A46A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5MWZlNTA1YzQ5NjQ2MWVkYjFkMjI4OTFkMDc4NDQifQ=="/>
  </w:docVars>
  <w:rsids>
    <w:rsidRoot w:val="002751BC"/>
    <w:rsid w:val="0000629A"/>
    <w:rsid w:val="002751BC"/>
    <w:rsid w:val="00361D19"/>
    <w:rsid w:val="0037487B"/>
    <w:rsid w:val="00432C0A"/>
    <w:rsid w:val="00506E88"/>
    <w:rsid w:val="006561C3"/>
    <w:rsid w:val="00685E61"/>
    <w:rsid w:val="006D03AF"/>
    <w:rsid w:val="006F4635"/>
    <w:rsid w:val="0074065D"/>
    <w:rsid w:val="007870E1"/>
    <w:rsid w:val="0082235C"/>
    <w:rsid w:val="0089795A"/>
    <w:rsid w:val="00910585"/>
    <w:rsid w:val="00944062"/>
    <w:rsid w:val="00C83260"/>
    <w:rsid w:val="00CB1468"/>
    <w:rsid w:val="00D349CF"/>
    <w:rsid w:val="00E07FF6"/>
    <w:rsid w:val="00E8684D"/>
    <w:rsid w:val="00F94095"/>
    <w:rsid w:val="0F1438DC"/>
    <w:rsid w:val="1175405C"/>
    <w:rsid w:val="276478BF"/>
    <w:rsid w:val="3B901788"/>
    <w:rsid w:val="3EBA0CDF"/>
    <w:rsid w:val="561F7204"/>
    <w:rsid w:val="57E5652D"/>
    <w:rsid w:val="608C57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3">
    <w:name w:val="Default Paragraph Font"/>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221</Words>
  <Characters>1262</Characters>
  <Lines>10</Lines>
  <Paragraphs>2</Paragraphs>
  <TotalTime>0</TotalTime>
  <ScaleCrop>false</ScaleCrop>
  <LinksUpToDate>false</LinksUpToDate>
  <CharactersWithSpaces>1481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2022-11-28T07:31:00Z</dcterms:created>
  <dc:creator>admin</dc:creator>
  <cp:lastModifiedBy>Administrator</cp:lastModifiedBy>
  <dcterms:modified xsi:type="dcterms:W3CDTF">2023-10-09T02:53:14Z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2022-08-02T15:09:06Z</vt:filetime>
  </property>
  <property fmtid="{D5CDD505-2E9C-101B-9397-08002B2CF9AE}" pid="4" name="KSOProductBuildVer">
    <vt:lpwstr>2052-12.1.0.15374</vt:lpwstr>
  </property>
  <property fmtid="{D5CDD505-2E9C-101B-9397-08002B2CF9AE}" pid="5" name="ICV">
    <vt:lpwstr>E3B7A8CAD05C43068A792CB7D9D1A626</vt:lpwstr>
  </property>
</Properties>
</file>