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D9ABA">
      <w:pPr>
        <w:adjustRightInd w:val="0"/>
        <w:snapToGrid w:val="0"/>
        <w:spacing w:after="156" w:afterLines="50" w:line="500" w:lineRule="exact"/>
        <w:rPr>
          <w:rFonts w:eastAsia="仿宋"/>
          <w:sz w:val="36"/>
          <w:szCs w:val="30"/>
        </w:rPr>
      </w:pPr>
      <w:r>
        <w:rPr>
          <w:rFonts w:hint="default" w:ascii="Times New Roman" w:hAnsi="Times New Roman" w:eastAsia="黑体" w:cs="Times New Roman"/>
          <w:bCs/>
          <w:sz w:val="32"/>
          <w:szCs w:val="30"/>
        </w:rPr>
        <w:t>附件</w:t>
      </w:r>
      <w:r>
        <w:rPr>
          <w:rFonts w:hint="eastAsia" w:eastAsia="黑体" w:cs="Times New Roman"/>
          <w:bCs/>
          <w:sz w:val="32"/>
          <w:szCs w:val="30"/>
          <w:lang w:val="en-US" w:eastAsia="zh-CN"/>
        </w:rPr>
        <w:t>1</w:t>
      </w:r>
      <w:r>
        <w:rPr>
          <w:rFonts w:hint="default" w:ascii="Times New Roman" w:hAnsi="Times New Roman" w:eastAsia="仿宋" w:cs="Times New Roman"/>
          <w:sz w:val="36"/>
          <w:szCs w:val="30"/>
        </w:rPr>
        <w:t xml:space="preserve">   </w:t>
      </w:r>
      <w:r>
        <w:rPr>
          <w:rFonts w:eastAsia="仿宋"/>
          <w:sz w:val="36"/>
          <w:szCs w:val="30"/>
        </w:rPr>
        <w:t xml:space="preserve">         </w:t>
      </w:r>
    </w:p>
    <w:p w14:paraId="03F5BD2C">
      <w:pPr>
        <w:adjustRightInd w:val="0"/>
        <w:snapToGrid w:val="0"/>
        <w:spacing w:after="156" w:afterLines="50" w:line="500" w:lineRule="exact"/>
        <w:jc w:val="center"/>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22B6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0566EE2C">
            <w:pPr>
              <w:spacing w:line="300" w:lineRule="exact"/>
              <w:rPr>
                <w:rFonts w:hint="eastAsia" w:ascii="黑体" w:hAnsi="黑体" w:eastAsia="黑体"/>
                <w:b/>
                <w:bCs/>
                <w:color w:val="auto"/>
                <w:kern w:val="0"/>
                <w:szCs w:val="21"/>
                <w:highlight w:val="none"/>
              </w:rPr>
            </w:pPr>
            <w:r>
              <w:rPr>
                <w:rFonts w:ascii="黑体" w:hAnsi="黑体" w:eastAsia="黑体"/>
                <w:b/>
                <w:bCs/>
                <w:color w:val="auto"/>
                <w:kern w:val="0"/>
                <w:szCs w:val="21"/>
                <w:highlight w:val="none"/>
              </w:rPr>
              <w:t>序号</w:t>
            </w:r>
          </w:p>
        </w:tc>
        <w:tc>
          <w:tcPr>
            <w:tcW w:w="3703" w:type="dxa"/>
            <w:tcMar>
              <w:left w:w="45" w:type="dxa"/>
              <w:right w:w="45" w:type="dxa"/>
            </w:tcMar>
            <w:vAlign w:val="center"/>
          </w:tcPr>
          <w:p w14:paraId="58CBAF67">
            <w:pPr>
              <w:spacing w:line="300" w:lineRule="exact"/>
              <w:rPr>
                <w:rFonts w:hint="eastAsia" w:ascii="黑体" w:hAnsi="黑体" w:eastAsia="黑体"/>
                <w:b/>
                <w:bCs/>
                <w:color w:val="auto"/>
                <w:kern w:val="0"/>
                <w:szCs w:val="21"/>
                <w:highlight w:val="none"/>
              </w:rPr>
            </w:pPr>
            <w:r>
              <w:rPr>
                <w:rFonts w:ascii="黑体" w:hAnsi="黑体" w:eastAsia="黑体"/>
                <w:b/>
                <w:bCs/>
                <w:color w:val="auto"/>
                <w:kern w:val="0"/>
                <w:szCs w:val="21"/>
                <w:highlight w:val="none"/>
              </w:rPr>
              <w:t>检查项目</w:t>
            </w:r>
          </w:p>
        </w:tc>
        <w:tc>
          <w:tcPr>
            <w:tcW w:w="7777" w:type="dxa"/>
            <w:tcMar>
              <w:left w:w="45" w:type="dxa"/>
              <w:right w:w="45" w:type="dxa"/>
            </w:tcMar>
            <w:vAlign w:val="center"/>
          </w:tcPr>
          <w:p w14:paraId="1914DCB6">
            <w:pPr>
              <w:spacing w:line="300" w:lineRule="exact"/>
              <w:rPr>
                <w:rFonts w:hint="eastAsia" w:ascii="黑体" w:hAnsi="黑体" w:eastAsia="黑体"/>
                <w:b/>
                <w:bCs/>
                <w:color w:val="auto"/>
                <w:kern w:val="0"/>
                <w:szCs w:val="21"/>
                <w:highlight w:val="none"/>
              </w:rPr>
            </w:pPr>
            <w:r>
              <w:rPr>
                <w:rFonts w:ascii="黑体" w:hAnsi="黑体" w:eastAsia="黑体"/>
                <w:b/>
                <w:bCs/>
                <w:color w:val="auto"/>
                <w:kern w:val="0"/>
                <w:szCs w:val="21"/>
                <w:highlight w:val="none"/>
              </w:rPr>
              <w:t>检查要点</w:t>
            </w:r>
          </w:p>
        </w:tc>
        <w:tc>
          <w:tcPr>
            <w:tcW w:w="2543" w:type="dxa"/>
            <w:tcMar>
              <w:left w:w="45" w:type="dxa"/>
              <w:right w:w="45" w:type="dxa"/>
            </w:tcMar>
            <w:vAlign w:val="center"/>
          </w:tcPr>
          <w:p w14:paraId="5063E0DF">
            <w:pPr>
              <w:spacing w:line="300" w:lineRule="exact"/>
              <w:rPr>
                <w:rFonts w:hint="eastAsia" w:ascii="黑体" w:hAnsi="黑体" w:eastAsia="黑体"/>
                <w:b/>
                <w:bCs/>
                <w:color w:val="auto"/>
                <w:kern w:val="0"/>
                <w:szCs w:val="21"/>
                <w:highlight w:val="none"/>
              </w:rPr>
            </w:pPr>
            <w:r>
              <w:rPr>
                <w:rFonts w:ascii="黑体" w:hAnsi="黑体" w:eastAsia="黑体"/>
                <w:b/>
                <w:bCs/>
                <w:color w:val="auto"/>
                <w:kern w:val="0"/>
                <w:szCs w:val="21"/>
                <w:highlight w:val="none"/>
              </w:rPr>
              <w:t>情况记录</w:t>
            </w:r>
          </w:p>
        </w:tc>
      </w:tr>
      <w:tr w14:paraId="10AD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D8FA1B">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w:t>
            </w:r>
          </w:p>
        </w:tc>
        <w:tc>
          <w:tcPr>
            <w:tcW w:w="14023" w:type="dxa"/>
            <w:gridSpan w:val="3"/>
            <w:tcMar>
              <w:left w:w="45" w:type="dxa"/>
              <w:right w:w="45" w:type="dxa"/>
            </w:tcMar>
            <w:vAlign w:val="center"/>
          </w:tcPr>
          <w:p w14:paraId="7FFFBACB">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责任体系</w:t>
            </w:r>
          </w:p>
        </w:tc>
      </w:tr>
      <w:tr w14:paraId="7120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98AB9D">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1.1</w:t>
            </w:r>
          </w:p>
        </w:tc>
        <w:tc>
          <w:tcPr>
            <w:tcW w:w="14023" w:type="dxa"/>
            <w:gridSpan w:val="3"/>
            <w:tcMar>
              <w:left w:w="45" w:type="dxa"/>
              <w:right w:w="45" w:type="dxa"/>
            </w:tcMar>
            <w:vAlign w:val="center"/>
          </w:tcPr>
          <w:p w14:paraId="4DFCAA5C">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学校层面安全责任体系</w:t>
            </w:r>
          </w:p>
        </w:tc>
      </w:tr>
      <w:tr w14:paraId="14D5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979B8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1.1.1</w:t>
            </w:r>
          </w:p>
        </w:tc>
        <w:tc>
          <w:tcPr>
            <w:tcW w:w="3703" w:type="dxa"/>
            <w:tcMar>
              <w:left w:w="45" w:type="dxa"/>
              <w:right w:w="45" w:type="dxa"/>
            </w:tcMar>
            <w:vAlign w:val="center"/>
          </w:tcPr>
          <w:p w14:paraId="303531E0">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color w:val="auto"/>
                <w:kern w:val="0"/>
                <w:szCs w:val="21"/>
                <w:highlight w:val="none"/>
              </w:rPr>
              <w:t>实验室安全工作纳入学校决策研究事项</w:t>
            </w:r>
          </w:p>
        </w:tc>
        <w:tc>
          <w:tcPr>
            <w:tcW w:w="7777" w:type="dxa"/>
            <w:tcMar>
              <w:left w:w="45" w:type="dxa"/>
              <w:right w:w="45" w:type="dxa"/>
            </w:tcMar>
            <w:vAlign w:val="center"/>
          </w:tcPr>
          <w:p w14:paraId="03C736F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（1）有学校相关会议（校务会议、党委常委会会议等）纪要；内容包含实验室安全工作</w:t>
            </w:r>
          </w:p>
        </w:tc>
        <w:tc>
          <w:tcPr>
            <w:tcW w:w="2543" w:type="dxa"/>
            <w:tcMar>
              <w:left w:w="45" w:type="dxa"/>
              <w:right w:w="45" w:type="dxa"/>
            </w:tcMar>
            <w:vAlign w:val="center"/>
          </w:tcPr>
          <w:p w14:paraId="0C93955B">
            <w:pPr>
              <w:widowControl/>
              <w:spacing w:line="300" w:lineRule="exact"/>
              <w:rPr>
                <w:rFonts w:hint="default" w:ascii="Times New Roman" w:hAnsi="Times New Roman" w:eastAsia="仿宋_GB2312" w:cs="Times New Roman"/>
                <w:bCs/>
                <w:color w:val="auto"/>
                <w:kern w:val="0"/>
                <w:szCs w:val="21"/>
                <w:highlight w:val="none"/>
              </w:rPr>
            </w:pPr>
          </w:p>
        </w:tc>
      </w:tr>
      <w:tr w14:paraId="27EA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78777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1.1.2</w:t>
            </w:r>
          </w:p>
        </w:tc>
        <w:tc>
          <w:tcPr>
            <w:tcW w:w="3703" w:type="dxa"/>
            <w:tcMar>
              <w:left w:w="45" w:type="dxa"/>
              <w:right w:w="45" w:type="dxa"/>
            </w:tcMar>
            <w:vAlign w:val="center"/>
          </w:tcPr>
          <w:p w14:paraId="718B1E73">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color w:val="auto"/>
                <w:kern w:val="0"/>
                <w:szCs w:val="21"/>
                <w:highlight w:val="none"/>
              </w:rPr>
              <w:t>有校级实验室安全工作责任人与领导机构</w:t>
            </w:r>
          </w:p>
        </w:tc>
        <w:tc>
          <w:tcPr>
            <w:tcW w:w="7777" w:type="dxa"/>
            <w:tcMar>
              <w:left w:w="45" w:type="dxa"/>
              <w:right w:w="45" w:type="dxa"/>
            </w:tcMar>
            <w:vAlign w:val="center"/>
          </w:tcPr>
          <w:p w14:paraId="011C159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2D762158">
            <w:pPr>
              <w:widowControl/>
              <w:spacing w:line="300" w:lineRule="exact"/>
              <w:rPr>
                <w:rFonts w:hint="default" w:ascii="Times New Roman" w:hAnsi="Times New Roman" w:eastAsia="仿宋_GB2312" w:cs="Times New Roman"/>
                <w:bCs/>
                <w:color w:val="auto"/>
                <w:kern w:val="0"/>
                <w:szCs w:val="21"/>
                <w:highlight w:val="none"/>
              </w:rPr>
            </w:pPr>
          </w:p>
        </w:tc>
      </w:tr>
      <w:tr w14:paraId="2798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842B5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1.1.3</w:t>
            </w:r>
          </w:p>
        </w:tc>
        <w:tc>
          <w:tcPr>
            <w:tcW w:w="3703" w:type="dxa"/>
            <w:tcMar>
              <w:left w:w="45" w:type="dxa"/>
              <w:right w:w="45" w:type="dxa"/>
            </w:tcMar>
            <w:vAlign w:val="center"/>
          </w:tcPr>
          <w:p w14:paraId="617F164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有明确的实验室安全管理职能部门</w:t>
            </w:r>
          </w:p>
        </w:tc>
        <w:tc>
          <w:tcPr>
            <w:tcW w:w="7777" w:type="dxa"/>
            <w:tcMar>
              <w:left w:w="45" w:type="dxa"/>
              <w:right w:w="45" w:type="dxa"/>
            </w:tcMar>
            <w:vAlign w:val="center"/>
          </w:tcPr>
          <w:p w14:paraId="6386CBB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w:t>
            </w:r>
            <w:r>
              <w:rPr>
                <w:rFonts w:hint="default" w:ascii="Times New Roman" w:hAnsi="Times New Roman" w:eastAsia="仿宋_GB2312" w:cs="Times New Roman"/>
                <w:b/>
                <w:bCs/>
                <w:color w:val="auto"/>
                <w:kern w:val="0"/>
                <w:szCs w:val="21"/>
                <w:highlight w:val="none"/>
              </w:rPr>
              <w:t>明确牵头职能部门负责实验室安全工作，相关职能部门切实配合落实工作</w:t>
            </w:r>
          </w:p>
        </w:tc>
        <w:tc>
          <w:tcPr>
            <w:tcW w:w="2543" w:type="dxa"/>
            <w:tcMar>
              <w:left w:w="45" w:type="dxa"/>
              <w:right w:w="45" w:type="dxa"/>
            </w:tcMar>
            <w:vAlign w:val="center"/>
          </w:tcPr>
          <w:p w14:paraId="45429D46">
            <w:pPr>
              <w:widowControl/>
              <w:spacing w:line="300" w:lineRule="exact"/>
              <w:rPr>
                <w:rFonts w:hint="default" w:ascii="Times New Roman" w:hAnsi="Times New Roman" w:eastAsia="仿宋_GB2312" w:cs="Times New Roman"/>
                <w:bCs/>
                <w:color w:val="auto"/>
                <w:kern w:val="0"/>
                <w:szCs w:val="21"/>
                <w:highlight w:val="none"/>
              </w:rPr>
            </w:pPr>
          </w:p>
        </w:tc>
      </w:tr>
      <w:tr w14:paraId="3794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951E8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1.1.4</w:t>
            </w:r>
          </w:p>
        </w:tc>
        <w:tc>
          <w:tcPr>
            <w:tcW w:w="3703" w:type="dxa"/>
            <w:tcMar>
              <w:left w:w="45" w:type="dxa"/>
              <w:right w:w="45" w:type="dxa"/>
            </w:tcMar>
            <w:vAlign w:val="center"/>
          </w:tcPr>
          <w:p w14:paraId="1FC0C16A">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学校与院系签订实验室安全责任书</w:t>
            </w:r>
          </w:p>
        </w:tc>
        <w:tc>
          <w:tcPr>
            <w:tcW w:w="7777" w:type="dxa"/>
            <w:tcMar>
              <w:left w:w="45" w:type="dxa"/>
              <w:right w:w="45" w:type="dxa"/>
            </w:tcMar>
            <w:vAlign w:val="center"/>
          </w:tcPr>
          <w:p w14:paraId="40C8C4F7">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（4）档案或信息系统里有学校领导与院系负责人每年签字盖章的安全责任书</w:t>
            </w:r>
          </w:p>
        </w:tc>
        <w:tc>
          <w:tcPr>
            <w:tcW w:w="2543" w:type="dxa"/>
            <w:tcMar>
              <w:left w:w="45" w:type="dxa"/>
              <w:right w:w="45" w:type="dxa"/>
            </w:tcMar>
            <w:vAlign w:val="center"/>
          </w:tcPr>
          <w:p w14:paraId="7139202E">
            <w:pPr>
              <w:widowControl/>
              <w:spacing w:line="300" w:lineRule="exact"/>
              <w:rPr>
                <w:rFonts w:hint="default" w:ascii="Times New Roman" w:hAnsi="Times New Roman" w:eastAsia="仿宋_GB2312" w:cs="Times New Roman"/>
                <w:bCs/>
                <w:color w:val="auto"/>
                <w:kern w:val="0"/>
                <w:szCs w:val="21"/>
                <w:highlight w:val="none"/>
              </w:rPr>
            </w:pPr>
          </w:p>
        </w:tc>
      </w:tr>
      <w:tr w14:paraId="2C07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2CCB43">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1.2</w:t>
            </w:r>
          </w:p>
        </w:tc>
        <w:tc>
          <w:tcPr>
            <w:tcW w:w="14023" w:type="dxa"/>
            <w:gridSpan w:val="3"/>
            <w:tcMar>
              <w:left w:w="45" w:type="dxa"/>
              <w:right w:w="45" w:type="dxa"/>
            </w:tcMar>
            <w:vAlign w:val="center"/>
          </w:tcPr>
          <w:p w14:paraId="787E9ADC">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院系层面安全责任体系</w:t>
            </w:r>
          </w:p>
        </w:tc>
      </w:tr>
      <w:tr w14:paraId="024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85B83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1.2.1</w:t>
            </w:r>
          </w:p>
        </w:tc>
        <w:tc>
          <w:tcPr>
            <w:tcW w:w="3703" w:type="dxa"/>
            <w:tcMar>
              <w:left w:w="45" w:type="dxa"/>
              <w:right w:w="45" w:type="dxa"/>
            </w:tcMar>
            <w:vAlign w:val="center"/>
          </w:tcPr>
          <w:p w14:paraId="58F874D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有院系实验室安全工作队伍</w:t>
            </w:r>
          </w:p>
        </w:tc>
        <w:tc>
          <w:tcPr>
            <w:tcW w:w="7777" w:type="dxa"/>
            <w:tcMar>
              <w:left w:w="45" w:type="dxa"/>
              <w:right w:w="45" w:type="dxa"/>
            </w:tcMar>
            <w:vAlign w:val="center"/>
          </w:tcPr>
          <w:p w14:paraId="4EA8112F">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（5）</w:t>
            </w:r>
            <w:r>
              <w:rPr>
                <w:rFonts w:hint="default" w:ascii="Times New Roman" w:hAnsi="Times New Roman" w:eastAsia="仿宋_GB2312" w:cs="Times New Roman"/>
                <w:b/>
                <w:bCs w:val="0"/>
                <w:color w:val="auto"/>
                <w:kern w:val="0"/>
                <w:szCs w:val="21"/>
                <w:highlight w:val="none"/>
              </w:rPr>
              <w:t>院系安全工作队伍由党政负责人、分管实验室安全的领导、院系实验室安全助理或安全主管、实验室负责人、实验室安全员等共同组成。</w:t>
            </w:r>
          </w:p>
          <w:p w14:paraId="20A81C2E">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（6）有带文号的院系文件，如党政联席会/办公会等纪要、通知或制度等明确其内容</w:t>
            </w:r>
          </w:p>
        </w:tc>
        <w:tc>
          <w:tcPr>
            <w:tcW w:w="2543" w:type="dxa"/>
            <w:tcMar>
              <w:left w:w="45" w:type="dxa"/>
              <w:right w:w="45" w:type="dxa"/>
            </w:tcMar>
            <w:vAlign w:val="center"/>
          </w:tcPr>
          <w:p w14:paraId="6C4DDDF6">
            <w:pPr>
              <w:widowControl/>
              <w:spacing w:line="300" w:lineRule="exact"/>
              <w:rPr>
                <w:rFonts w:hint="default" w:ascii="Times New Roman" w:hAnsi="Times New Roman" w:eastAsia="仿宋_GB2312" w:cs="Times New Roman"/>
                <w:bCs/>
                <w:color w:val="auto"/>
                <w:kern w:val="0"/>
                <w:szCs w:val="21"/>
                <w:highlight w:val="none"/>
              </w:rPr>
            </w:pPr>
          </w:p>
        </w:tc>
      </w:tr>
      <w:tr w14:paraId="4B57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9511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1.2.2</w:t>
            </w:r>
          </w:p>
        </w:tc>
        <w:tc>
          <w:tcPr>
            <w:tcW w:w="3703" w:type="dxa"/>
            <w:tcMar>
              <w:left w:w="45" w:type="dxa"/>
              <w:right w:w="45" w:type="dxa"/>
            </w:tcMar>
            <w:vAlign w:val="center"/>
          </w:tcPr>
          <w:p w14:paraId="1719160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院系签订实验室安全责任书</w:t>
            </w:r>
          </w:p>
        </w:tc>
        <w:tc>
          <w:tcPr>
            <w:tcW w:w="7777" w:type="dxa"/>
            <w:tcMar>
              <w:left w:w="45" w:type="dxa"/>
              <w:right w:w="45" w:type="dxa"/>
            </w:tcMar>
            <w:vAlign w:val="center"/>
          </w:tcPr>
          <w:p w14:paraId="386F1B9B">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（7）院系签订责任书到实验房间安全责任人</w:t>
            </w:r>
          </w:p>
        </w:tc>
        <w:tc>
          <w:tcPr>
            <w:tcW w:w="2543" w:type="dxa"/>
            <w:tcMar>
              <w:left w:w="45" w:type="dxa"/>
              <w:right w:w="45" w:type="dxa"/>
            </w:tcMar>
            <w:vAlign w:val="center"/>
          </w:tcPr>
          <w:p w14:paraId="1982D5F7">
            <w:pPr>
              <w:widowControl/>
              <w:spacing w:line="300" w:lineRule="exact"/>
              <w:rPr>
                <w:rFonts w:hint="default" w:ascii="Times New Roman" w:hAnsi="Times New Roman" w:eastAsia="仿宋_GB2312" w:cs="Times New Roman"/>
                <w:bCs/>
                <w:color w:val="auto"/>
                <w:kern w:val="0"/>
                <w:szCs w:val="21"/>
                <w:highlight w:val="none"/>
              </w:rPr>
            </w:pPr>
          </w:p>
        </w:tc>
      </w:tr>
      <w:tr w14:paraId="16BF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3D26F3">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1.3</w:t>
            </w:r>
          </w:p>
        </w:tc>
        <w:tc>
          <w:tcPr>
            <w:tcW w:w="14023" w:type="dxa"/>
            <w:gridSpan w:val="3"/>
            <w:tcMar>
              <w:left w:w="45" w:type="dxa"/>
              <w:right w:w="45" w:type="dxa"/>
            </w:tcMar>
            <w:vAlign w:val="center"/>
          </w:tcPr>
          <w:p w14:paraId="530C37A8">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
                <w:color w:val="auto"/>
                <w:kern w:val="0"/>
                <w:szCs w:val="21"/>
                <w:highlight w:val="none"/>
              </w:rPr>
              <w:t>实验室层面安全责任体系</w:t>
            </w:r>
          </w:p>
        </w:tc>
      </w:tr>
      <w:tr w14:paraId="47EB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DE27A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1.3.1</w:t>
            </w:r>
          </w:p>
        </w:tc>
        <w:tc>
          <w:tcPr>
            <w:tcW w:w="3703" w:type="dxa"/>
            <w:tcMar>
              <w:left w:w="45" w:type="dxa"/>
              <w:right w:w="45" w:type="dxa"/>
            </w:tcMar>
            <w:vAlign w:val="center"/>
          </w:tcPr>
          <w:p w14:paraId="2EA3FBC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明确实验室层面各级责任人及其职责</w:t>
            </w:r>
          </w:p>
        </w:tc>
        <w:tc>
          <w:tcPr>
            <w:tcW w:w="7777" w:type="dxa"/>
            <w:tcMar>
              <w:left w:w="45" w:type="dxa"/>
              <w:right w:w="45" w:type="dxa"/>
            </w:tcMar>
            <w:vAlign w:val="center"/>
          </w:tcPr>
          <w:p w14:paraId="63FEA70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highlight w:val="none"/>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3B5BB2E8">
            <w:pPr>
              <w:widowControl/>
              <w:spacing w:line="300" w:lineRule="exact"/>
              <w:rPr>
                <w:rFonts w:hint="default" w:ascii="Times New Roman" w:hAnsi="Times New Roman" w:eastAsia="仿宋_GB2312" w:cs="Times New Roman"/>
                <w:bCs/>
                <w:color w:val="auto"/>
                <w:kern w:val="0"/>
                <w:szCs w:val="21"/>
                <w:highlight w:val="none"/>
              </w:rPr>
            </w:pPr>
          </w:p>
        </w:tc>
      </w:tr>
      <w:tr w14:paraId="6EEC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32565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1.3.2</w:t>
            </w:r>
          </w:p>
        </w:tc>
        <w:tc>
          <w:tcPr>
            <w:tcW w:w="3703" w:type="dxa"/>
            <w:tcMar>
              <w:left w:w="45" w:type="dxa"/>
              <w:right w:w="45" w:type="dxa"/>
            </w:tcMar>
            <w:vAlign w:val="center"/>
          </w:tcPr>
          <w:p w14:paraId="7427320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实验室层面签订实验室安全责任书</w:t>
            </w:r>
          </w:p>
        </w:tc>
        <w:tc>
          <w:tcPr>
            <w:tcW w:w="7777" w:type="dxa"/>
            <w:tcMar>
              <w:left w:w="45" w:type="dxa"/>
              <w:right w:w="45" w:type="dxa"/>
            </w:tcMar>
            <w:vAlign w:val="center"/>
          </w:tcPr>
          <w:p w14:paraId="1EB6278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（9）实验室负责人与相关实验人员签订实验室安全责任书</w:t>
            </w:r>
          </w:p>
        </w:tc>
        <w:tc>
          <w:tcPr>
            <w:tcW w:w="2543" w:type="dxa"/>
            <w:tcMar>
              <w:left w:w="45" w:type="dxa"/>
              <w:right w:w="45" w:type="dxa"/>
            </w:tcMar>
            <w:vAlign w:val="center"/>
          </w:tcPr>
          <w:p w14:paraId="4D16634B">
            <w:pPr>
              <w:widowControl/>
              <w:spacing w:line="300" w:lineRule="exact"/>
              <w:rPr>
                <w:rFonts w:hint="default" w:ascii="Times New Roman" w:hAnsi="Times New Roman" w:eastAsia="仿宋_GB2312" w:cs="Times New Roman"/>
                <w:bCs/>
                <w:color w:val="auto"/>
                <w:kern w:val="0"/>
                <w:szCs w:val="21"/>
                <w:highlight w:val="none"/>
              </w:rPr>
            </w:pPr>
          </w:p>
        </w:tc>
      </w:tr>
      <w:tr w14:paraId="4E99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1BD134">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1.4</w:t>
            </w:r>
          </w:p>
        </w:tc>
        <w:tc>
          <w:tcPr>
            <w:tcW w:w="14023" w:type="dxa"/>
            <w:gridSpan w:val="3"/>
            <w:tcMar>
              <w:left w:w="45" w:type="dxa"/>
              <w:right w:w="45" w:type="dxa"/>
            </w:tcMar>
            <w:vAlign w:val="center"/>
          </w:tcPr>
          <w:p w14:paraId="5335B625">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color w:val="auto"/>
                <w:kern w:val="0"/>
                <w:szCs w:val="21"/>
                <w:highlight w:val="none"/>
              </w:rPr>
              <w:t>安全工作奖惩机制</w:t>
            </w:r>
          </w:p>
        </w:tc>
      </w:tr>
      <w:tr w14:paraId="6CAE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AFEE6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1.4.1</w:t>
            </w:r>
          </w:p>
        </w:tc>
        <w:tc>
          <w:tcPr>
            <w:tcW w:w="3703" w:type="dxa"/>
            <w:tcMar>
              <w:left w:w="45" w:type="dxa"/>
              <w:right w:w="45" w:type="dxa"/>
            </w:tcMar>
            <w:vAlign w:val="center"/>
          </w:tcPr>
          <w:p w14:paraId="625AD8B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奖惩机制落实到岗位或个人</w:t>
            </w:r>
          </w:p>
        </w:tc>
        <w:tc>
          <w:tcPr>
            <w:tcW w:w="7777" w:type="dxa"/>
            <w:tcMar>
              <w:left w:w="45" w:type="dxa"/>
              <w:right w:w="45" w:type="dxa"/>
            </w:tcMar>
            <w:vAlign w:val="center"/>
          </w:tcPr>
          <w:p w14:paraId="5237B2F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（10）有明确的奖惩管理办法，以及实际执行情况</w:t>
            </w:r>
          </w:p>
        </w:tc>
        <w:tc>
          <w:tcPr>
            <w:tcW w:w="2543" w:type="dxa"/>
            <w:tcMar>
              <w:left w:w="45" w:type="dxa"/>
              <w:right w:w="45" w:type="dxa"/>
            </w:tcMar>
            <w:vAlign w:val="center"/>
          </w:tcPr>
          <w:p w14:paraId="3DD9EEE5">
            <w:pPr>
              <w:widowControl/>
              <w:spacing w:line="300" w:lineRule="exact"/>
              <w:rPr>
                <w:rFonts w:hint="default" w:ascii="Times New Roman" w:hAnsi="Times New Roman" w:eastAsia="仿宋_GB2312" w:cs="Times New Roman"/>
                <w:bCs/>
                <w:color w:val="auto"/>
                <w:kern w:val="0"/>
                <w:szCs w:val="21"/>
                <w:highlight w:val="none"/>
              </w:rPr>
            </w:pPr>
          </w:p>
        </w:tc>
      </w:tr>
      <w:tr w14:paraId="3BD8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F12FB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1.4.2</w:t>
            </w:r>
          </w:p>
        </w:tc>
        <w:tc>
          <w:tcPr>
            <w:tcW w:w="3703" w:type="dxa"/>
            <w:tcMar>
              <w:left w:w="45" w:type="dxa"/>
              <w:right w:w="45" w:type="dxa"/>
            </w:tcMar>
            <w:vAlign w:val="center"/>
          </w:tcPr>
          <w:p w14:paraId="56C0F91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依法依规进行事故调查和责任追究</w:t>
            </w:r>
          </w:p>
        </w:tc>
        <w:tc>
          <w:tcPr>
            <w:tcW w:w="7777" w:type="dxa"/>
            <w:tcMar>
              <w:left w:w="45" w:type="dxa"/>
              <w:right w:w="45" w:type="dxa"/>
            </w:tcMar>
            <w:vAlign w:val="center"/>
          </w:tcPr>
          <w:p w14:paraId="441FDCB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（11）检查事故处理执行情况</w:t>
            </w:r>
          </w:p>
        </w:tc>
        <w:tc>
          <w:tcPr>
            <w:tcW w:w="2543" w:type="dxa"/>
            <w:tcMar>
              <w:left w:w="45" w:type="dxa"/>
              <w:right w:w="45" w:type="dxa"/>
            </w:tcMar>
            <w:vAlign w:val="center"/>
          </w:tcPr>
          <w:p w14:paraId="15641727">
            <w:pPr>
              <w:widowControl/>
              <w:spacing w:line="300" w:lineRule="exact"/>
              <w:rPr>
                <w:rFonts w:hint="default" w:ascii="Times New Roman" w:hAnsi="Times New Roman" w:eastAsia="仿宋_GB2312" w:cs="Times New Roman"/>
                <w:bCs/>
                <w:color w:val="auto"/>
                <w:kern w:val="0"/>
                <w:szCs w:val="21"/>
                <w:highlight w:val="none"/>
              </w:rPr>
            </w:pPr>
          </w:p>
        </w:tc>
      </w:tr>
      <w:tr w14:paraId="3598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0ED758">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1.5</w:t>
            </w:r>
          </w:p>
        </w:tc>
        <w:tc>
          <w:tcPr>
            <w:tcW w:w="14023" w:type="dxa"/>
            <w:gridSpan w:val="3"/>
            <w:tcMar>
              <w:left w:w="45" w:type="dxa"/>
              <w:right w:w="45" w:type="dxa"/>
            </w:tcMar>
            <w:vAlign w:val="center"/>
          </w:tcPr>
          <w:p w14:paraId="6A681273">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经费保障</w:t>
            </w:r>
          </w:p>
        </w:tc>
      </w:tr>
      <w:tr w14:paraId="7695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D3EF3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1.5.1</w:t>
            </w:r>
          </w:p>
        </w:tc>
        <w:tc>
          <w:tcPr>
            <w:tcW w:w="3703" w:type="dxa"/>
            <w:tcMar>
              <w:left w:w="45" w:type="dxa"/>
              <w:right w:w="45" w:type="dxa"/>
            </w:tcMar>
            <w:vAlign w:val="center"/>
          </w:tcPr>
          <w:p w14:paraId="298BE9F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学校每年有实验室安全常规经费预算</w:t>
            </w:r>
          </w:p>
        </w:tc>
        <w:tc>
          <w:tcPr>
            <w:tcW w:w="7777" w:type="dxa"/>
            <w:tcMar>
              <w:left w:w="45" w:type="dxa"/>
              <w:right w:w="45" w:type="dxa"/>
            </w:tcMar>
            <w:vAlign w:val="center"/>
          </w:tcPr>
          <w:p w14:paraId="779B8749">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（12）学校职能部门有预算审批凭据证明有专款用于实验室安全工作</w:t>
            </w:r>
          </w:p>
        </w:tc>
        <w:tc>
          <w:tcPr>
            <w:tcW w:w="2543" w:type="dxa"/>
            <w:tcMar>
              <w:left w:w="45" w:type="dxa"/>
              <w:right w:w="45" w:type="dxa"/>
            </w:tcMar>
            <w:vAlign w:val="center"/>
          </w:tcPr>
          <w:p w14:paraId="24A20491">
            <w:pPr>
              <w:widowControl/>
              <w:spacing w:line="300" w:lineRule="exact"/>
              <w:rPr>
                <w:rFonts w:hint="default" w:ascii="Times New Roman" w:hAnsi="Times New Roman" w:eastAsia="仿宋_GB2312" w:cs="Times New Roman"/>
                <w:bCs/>
                <w:color w:val="auto"/>
                <w:kern w:val="0"/>
                <w:szCs w:val="21"/>
                <w:highlight w:val="none"/>
              </w:rPr>
            </w:pPr>
          </w:p>
        </w:tc>
      </w:tr>
      <w:tr w14:paraId="0185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9751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1.5.2</w:t>
            </w:r>
          </w:p>
        </w:tc>
        <w:tc>
          <w:tcPr>
            <w:tcW w:w="3703" w:type="dxa"/>
            <w:tcMar>
              <w:left w:w="45" w:type="dxa"/>
              <w:right w:w="45" w:type="dxa"/>
            </w:tcMar>
            <w:vAlign w:val="center"/>
          </w:tcPr>
          <w:p w14:paraId="32EE100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学校有专项经费投入实验室安全工作，重大安全隐患整改经费能够落实</w:t>
            </w:r>
          </w:p>
        </w:tc>
        <w:tc>
          <w:tcPr>
            <w:tcW w:w="7777" w:type="dxa"/>
            <w:tcMar>
              <w:left w:w="45" w:type="dxa"/>
              <w:right w:w="45" w:type="dxa"/>
            </w:tcMar>
            <w:vAlign w:val="center"/>
          </w:tcPr>
          <w:p w14:paraId="71E9D58D">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（13）</w:t>
            </w:r>
            <w:r>
              <w:rPr>
                <w:rFonts w:hint="default" w:ascii="Times New Roman" w:hAnsi="Times New Roman" w:eastAsia="仿宋_GB2312" w:cs="Times New Roman"/>
                <w:b/>
                <w:bCs w:val="0"/>
                <w:color w:val="auto"/>
                <w:kern w:val="0"/>
                <w:szCs w:val="21"/>
                <w:highlight w:val="none"/>
              </w:rPr>
              <w:t>学校职能部门有支出凭据证明有专款用于实验室安全工作，尤其是用于重大安全隐患整改项目</w:t>
            </w:r>
          </w:p>
        </w:tc>
        <w:tc>
          <w:tcPr>
            <w:tcW w:w="2543" w:type="dxa"/>
            <w:tcMar>
              <w:left w:w="45" w:type="dxa"/>
              <w:right w:w="45" w:type="dxa"/>
            </w:tcMar>
            <w:vAlign w:val="center"/>
          </w:tcPr>
          <w:p w14:paraId="32B2697A">
            <w:pPr>
              <w:widowControl/>
              <w:spacing w:line="300" w:lineRule="exact"/>
              <w:rPr>
                <w:rFonts w:hint="default" w:ascii="Times New Roman" w:hAnsi="Times New Roman" w:eastAsia="仿宋_GB2312" w:cs="Times New Roman"/>
                <w:bCs/>
                <w:color w:val="auto"/>
                <w:kern w:val="0"/>
                <w:szCs w:val="21"/>
                <w:highlight w:val="none"/>
              </w:rPr>
            </w:pPr>
          </w:p>
        </w:tc>
      </w:tr>
      <w:tr w14:paraId="034E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086F9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1.5.3</w:t>
            </w:r>
          </w:p>
        </w:tc>
        <w:tc>
          <w:tcPr>
            <w:tcW w:w="3703" w:type="dxa"/>
            <w:tcMar>
              <w:left w:w="45" w:type="dxa"/>
              <w:right w:w="45" w:type="dxa"/>
            </w:tcMar>
            <w:vAlign w:val="center"/>
          </w:tcPr>
          <w:p w14:paraId="77AE6FF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院系有自筹经费投入实验室安全建设与管理</w:t>
            </w:r>
          </w:p>
        </w:tc>
        <w:tc>
          <w:tcPr>
            <w:tcW w:w="7777" w:type="dxa"/>
            <w:tcMar>
              <w:left w:w="45" w:type="dxa"/>
              <w:right w:w="45" w:type="dxa"/>
            </w:tcMar>
            <w:vAlign w:val="center"/>
          </w:tcPr>
          <w:p w14:paraId="7A0B2AD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bCs/>
                <w:color w:val="auto"/>
                <w:kern w:val="0"/>
                <w:szCs w:val="21"/>
                <w:highlight w:val="none"/>
              </w:rPr>
              <w:t>（14）院系有支出凭据证明有专款用于实验室安全工作</w:t>
            </w:r>
          </w:p>
        </w:tc>
        <w:tc>
          <w:tcPr>
            <w:tcW w:w="2543" w:type="dxa"/>
            <w:tcMar>
              <w:left w:w="45" w:type="dxa"/>
              <w:right w:w="45" w:type="dxa"/>
            </w:tcMar>
            <w:vAlign w:val="center"/>
          </w:tcPr>
          <w:p w14:paraId="1976F2D7">
            <w:pPr>
              <w:widowControl/>
              <w:spacing w:line="300" w:lineRule="exact"/>
              <w:rPr>
                <w:rFonts w:hint="default" w:ascii="Times New Roman" w:hAnsi="Times New Roman" w:eastAsia="仿宋_GB2312" w:cs="Times New Roman"/>
                <w:color w:val="auto"/>
                <w:kern w:val="0"/>
                <w:szCs w:val="21"/>
                <w:highlight w:val="none"/>
              </w:rPr>
            </w:pPr>
          </w:p>
        </w:tc>
      </w:tr>
      <w:tr w14:paraId="09D0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97ED75">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1.6</w:t>
            </w:r>
          </w:p>
        </w:tc>
        <w:tc>
          <w:tcPr>
            <w:tcW w:w="14023" w:type="dxa"/>
            <w:gridSpan w:val="3"/>
            <w:tcMar>
              <w:left w:w="45" w:type="dxa"/>
              <w:right w:w="45" w:type="dxa"/>
            </w:tcMar>
            <w:vAlign w:val="center"/>
          </w:tcPr>
          <w:p w14:paraId="537D526F">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队伍建设</w:t>
            </w:r>
          </w:p>
        </w:tc>
      </w:tr>
      <w:tr w14:paraId="6839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56A0F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1.6.1</w:t>
            </w:r>
          </w:p>
        </w:tc>
        <w:tc>
          <w:tcPr>
            <w:tcW w:w="3703" w:type="dxa"/>
            <w:tcMar>
              <w:left w:w="45" w:type="dxa"/>
              <w:right w:w="45" w:type="dxa"/>
            </w:tcMar>
            <w:vAlign w:val="center"/>
          </w:tcPr>
          <w:p w14:paraId="716970D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学校根据需要配备专职或兼职的实验室安全管理人员</w:t>
            </w:r>
          </w:p>
        </w:tc>
        <w:tc>
          <w:tcPr>
            <w:tcW w:w="7777" w:type="dxa"/>
            <w:tcMar>
              <w:left w:w="45" w:type="dxa"/>
              <w:right w:w="45" w:type="dxa"/>
            </w:tcMar>
            <w:vAlign w:val="center"/>
          </w:tcPr>
          <w:p w14:paraId="751B4E95">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（15）有重要危险源，即</w:t>
            </w:r>
            <w:r>
              <w:rPr>
                <w:rFonts w:hint="default" w:ascii="Times New Roman" w:hAnsi="Times New Roman" w:eastAsia="仿宋_GB2312" w:cs="Times New Roman"/>
                <w:color w:val="auto"/>
                <w:szCs w:val="21"/>
                <w:highlight w:val="none"/>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highlight w:val="none"/>
              </w:rPr>
              <w:t>的高校应依据工作量，</w:t>
            </w:r>
            <w:r>
              <w:rPr>
                <w:rFonts w:hint="default" w:ascii="Times New Roman" w:hAnsi="Times New Roman" w:eastAsia="仿宋_GB2312" w:cs="Times New Roman"/>
                <w:b/>
                <w:bCs/>
                <w:color w:val="auto"/>
                <w:kern w:val="0"/>
                <w:szCs w:val="21"/>
                <w:highlight w:val="none"/>
              </w:rPr>
              <w:t>在校级管理机构配备足够的专职实验室安全管理人员。</w:t>
            </w:r>
          </w:p>
          <w:p w14:paraId="33A29FD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（16）</w:t>
            </w:r>
            <w:r>
              <w:rPr>
                <w:rFonts w:hint="default" w:ascii="Times New Roman" w:hAnsi="Times New Roman" w:eastAsia="仿宋_GB2312" w:cs="Times New Roman"/>
                <w:b/>
                <w:bCs/>
                <w:color w:val="auto"/>
                <w:kern w:val="0"/>
                <w:szCs w:val="21"/>
                <w:highlight w:val="none"/>
              </w:rPr>
              <w:t>有重要危险源的院系应依据工作量配备专职实验室安全管理人员</w:t>
            </w:r>
            <w:r>
              <w:rPr>
                <w:rFonts w:hint="default" w:ascii="Times New Roman" w:hAnsi="Times New Roman" w:eastAsia="仿宋_GB2312" w:cs="Times New Roman"/>
                <w:color w:val="auto"/>
                <w:kern w:val="0"/>
                <w:szCs w:val="21"/>
                <w:highlight w:val="none"/>
              </w:rPr>
              <w:t>；文、管、艺术类、数学及信息等相关院系配备兼职实验室安全管理人员</w:t>
            </w:r>
          </w:p>
        </w:tc>
        <w:tc>
          <w:tcPr>
            <w:tcW w:w="2543" w:type="dxa"/>
            <w:tcMar>
              <w:left w:w="45" w:type="dxa"/>
              <w:right w:w="45" w:type="dxa"/>
            </w:tcMar>
            <w:vAlign w:val="center"/>
          </w:tcPr>
          <w:p w14:paraId="00DAE2BC">
            <w:pPr>
              <w:widowControl/>
              <w:spacing w:line="300" w:lineRule="exact"/>
              <w:rPr>
                <w:rFonts w:hint="default" w:ascii="Times New Roman" w:hAnsi="Times New Roman" w:eastAsia="仿宋_GB2312" w:cs="Times New Roman"/>
                <w:color w:val="auto"/>
                <w:kern w:val="0"/>
                <w:szCs w:val="21"/>
                <w:highlight w:val="none"/>
              </w:rPr>
            </w:pPr>
          </w:p>
        </w:tc>
      </w:tr>
      <w:tr w14:paraId="65BC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0684C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1.6.2</w:t>
            </w:r>
          </w:p>
        </w:tc>
        <w:tc>
          <w:tcPr>
            <w:tcW w:w="3703" w:type="dxa"/>
            <w:tcMar>
              <w:left w:w="45" w:type="dxa"/>
              <w:right w:w="45" w:type="dxa"/>
            </w:tcMar>
            <w:vAlign w:val="center"/>
          </w:tcPr>
          <w:p w14:paraId="0B20251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有校级实验室安全检查队伍，可以由教师、实验技术人员组成，也可以利用有相关专业能力的社会力量</w:t>
            </w:r>
          </w:p>
        </w:tc>
        <w:tc>
          <w:tcPr>
            <w:tcW w:w="7777" w:type="dxa"/>
            <w:tcMar>
              <w:left w:w="45" w:type="dxa"/>
              <w:right w:w="45" w:type="dxa"/>
            </w:tcMar>
            <w:vAlign w:val="center"/>
          </w:tcPr>
          <w:p w14:paraId="6B3C1E73">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（17）有文件证明学校设立了</w:t>
            </w:r>
            <w:r>
              <w:rPr>
                <w:rFonts w:hint="default" w:ascii="Times New Roman" w:hAnsi="Times New Roman" w:eastAsia="仿宋_GB2312" w:cs="Times New Roman"/>
                <w:color w:val="auto"/>
                <w:kern w:val="0"/>
                <w:szCs w:val="21"/>
                <w:highlight w:val="none"/>
              </w:rPr>
              <w:t>检查队伍，并有</w:t>
            </w:r>
            <w:r>
              <w:rPr>
                <w:rFonts w:hint="default" w:ascii="Times New Roman" w:hAnsi="Times New Roman" w:eastAsia="仿宋_GB2312" w:cs="Times New Roman"/>
                <w:bCs/>
                <w:color w:val="auto"/>
                <w:kern w:val="0"/>
                <w:szCs w:val="21"/>
                <w:highlight w:val="none"/>
              </w:rPr>
              <w:t>工作记录</w:t>
            </w:r>
          </w:p>
        </w:tc>
        <w:tc>
          <w:tcPr>
            <w:tcW w:w="2543" w:type="dxa"/>
            <w:tcMar>
              <w:left w:w="45" w:type="dxa"/>
              <w:right w:w="45" w:type="dxa"/>
            </w:tcMar>
            <w:vAlign w:val="center"/>
          </w:tcPr>
          <w:p w14:paraId="7C6910F8">
            <w:pPr>
              <w:widowControl/>
              <w:spacing w:line="300" w:lineRule="exact"/>
              <w:rPr>
                <w:rFonts w:hint="default" w:ascii="Times New Roman" w:hAnsi="Times New Roman" w:eastAsia="仿宋_GB2312" w:cs="Times New Roman"/>
                <w:color w:val="auto"/>
                <w:kern w:val="0"/>
                <w:szCs w:val="21"/>
                <w:highlight w:val="none"/>
              </w:rPr>
            </w:pPr>
          </w:p>
        </w:tc>
      </w:tr>
      <w:tr w14:paraId="4C54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4BA4D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1.6.3</w:t>
            </w:r>
          </w:p>
        </w:tc>
        <w:tc>
          <w:tcPr>
            <w:tcW w:w="3703" w:type="dxa"/>
            <w:tcMar>
              <w:left w:w="45" w:type="dxa"/>
              <w:right w:w="45" w:type="dxa"/>
            </w:tcMar>
            <w:vAlign w:val="center"/>
          </w:tcPr>
          <w:p w14:paraId="3FFFBF5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各级主管实验室安全的负责人、管理人员及技术人员到岗一年内须接受实验室安全培训</w:t>
            </w:r>
          </w:p>
        </w:tc>
        <w:tc>
          <w:tcPr>
            <w:tcW w:w="7777" w:type="dxa"/>
            <w:tcMar>
              <w:left w:w="45" w:type="dxa"/>
              <w:right w:w="45" w:type="dxa"/>
            </w:tcMar>
            <w:vAlign w:val="center"/>
          </w:tcPr>
          <w:p w14:paraId="515C7ABE">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（18）有培训记录（证书、电子文档、书面记录）等证明培训及合格情况</w:t>
            </w:r>
          </w:p>
        </w:tc>
        <w:tc>
          <w:tcPr>
            <w:tcW w:w="2543" w:type="dxa"/>
            <w:tcMar>
              <w:left w:w="45" w:type="dxa"/>
              <w:right w:w="45" w:type="dxa"/>
            </w:tcMar>
            <w:vAlign w:val="center"/>
          </w:tcPr>
          <w:p w14:paraId="63DDBAD1">
            <w:pPr>
              <w:widowControl/>
              <w:spacing w:line="300" w:lineRule="exact"/>
              <w:rPr>
                <w:rFonts w:hint="default" w:ascii="Times New Roman" w:hAnsi="Times New Roman" w:eastAsia="仿宋_GB2312" w:cs="Times New Roman"/>
                <w:color w:val="auto"/>
                <w:kern w:val="0"/>
                <w:szCs w:val="21"/>
                <w:highlight w:val="none"/>
              </w:rPr>
            </w:pPr>
          </w:p>
        </w:tc>
      </w:tr>
      <w:tr w14:paraId="2DD3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0C595B">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1.7</w:t>
            </w:r>
          </w:p>
        </w:tc>
        <w:tc>
          <w:tcPr>
            <w:tcW w:w="14023" w:type="dxa"/>
            <w:gridSpan w:val="3"/>
            <w:tcMar>
              <w:left w:w="45" w:type="dxa"/>
              <w:right w:w="45" w:type="dxa"/>
            </w:tcMar>
            <w:vAlign w:val="center"/>
          </w:tcPr>
          <w:p w14:paraId="76CCE753">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其他</w:t>
            </w:r>
          </w:p>
        </w:tc>
      </w:tr>
      <w:tr w14:paraId="060B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E0753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1.7.1</w:t>
            </w:r>
          </w:p>
        </w:tc>
        <w:tc>
          <w:tcPr>
            <w:tcW w:w="3703" w:type="dxa"/>
            <w:tcMar>
              <w:left w:w="45" w:type="dxa"/>
              <w:right w:w="45" w:type="dxa"/>
            </w:tcMar>
            <w:vAlign w:val="center"/>
          </w:tcPr>
          <w:p w14:paraId="23FC9F1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采用信息化手段管理实验室安全</w:t>
            </w:r>
          </w:p>
        </w:tc>
        <w:tc>
          <w:tcPr>
            <w:tcW w:w="7777" w:type="dxa"/>
            <w:tcMar>
              <w:left w:w="45" w:type="dxa"/>
              <w:right w:w="45" w:type="dxa"/>
            </w:tcMar>
            <w:vAlign w:val="center"/>
          </w:tcPr>
          <w:p w14:paraId="2D6FD10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（19）学校建设信息管理等系统用于实验室安全管理</w:t>
            </w:r>
          </w:p>
        </w:tc>
        <w:tc>
          <w:tcPr>
            <w:tcW w:w="2543" w:type="dxa"/>
            <w:tcMar>
              <w:left w:w="45" w:type="dxa"/>
              <w:right w:w="45" w:type="dxa"/>
            </w:tcMar>
            <w:vAlign w:val="center"/>
          </w:tcPr>
          <w:p w14:paraId="35B1EE2D">
            <w:pPr>
              <w:widowControl/>
              <w:spacing w:line="300" w:lineRule="exact"/>
              <w:rPr>
                <w:rFonts w:hint="default" w:ascii="Times New Roman" w:hAnsi="Times New Roman" w:eastAsia="仿宋_GB2312" w:cs="Times New Roman"/>
                <w:color w:val="auto"/>
                <w:kern w:val="0"/>
                <w:szCs w:val="21"/>
                <w:highlight w:val="none"/>
              </w:rPr>
            </w:pPr>
          </w:p>
        </w:tc>
      </w:tr>
      <w:tr w14:paraId="5545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068F4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1.7.2</w:t>
            </w:r>
          </w:p>
        </w:tc>
        <w:tc>
          <w:tcPr>
            <w:tcW w:w="3703" w:type="dxa"/>
            <w:tcMar>
              <w:left w:w="45" w:type="dxa"/>
              <w:right w:w="45" w:type="dxa"/>
            </w:tcMar>
            <w:vAlign w:val="center"/>
          </w:tcPr>
          <w:p w14:paraId="00B3904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建立实验室安全工作档案</w:t>
            </w:r>
          </w:p>
        </w:tc>
        <w:tc>
          <w:tcPr>
            <w:tcW w:w="7777" w:type="dxa"/>
            <w:tcMar>
              <w:left w:w="45" w:type="dxa"/>
              <w:right w:w="45" w:type="dxa"/>
            </w:tcMar>
            <w:vAlign w:val="center"/>
          </w:tcPr>
          <w:p w14:paraId="03B1D20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57D303CD">
            <w:pPr>
              <w:widowControl/>
              <w:spacing w:line="300" w:lineRule="exact"/>
              <w:rPr>
                <w:rFonts w:hint="default" w:ascii="Times New Roman" w:hAnsi="Times New Roman" w:eastAsia="仿宋_GB2312" w:cs="Times New Roman"/>
                <w:color w:val="auto"/>
                <w:kern w:val="0"/>
                <w:szCs w:val="21"/>
                <w:highlight w:val="none"/>
              </w:rPr>
            </w:pPr>
          </w:p>
        </w:tc>
      </w:tr>
      <w:tr w14:paraId="4624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8CD50D">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2</w:t>
            </w:r>
          </w:p>
        </w:tc>
        <w:tc>
          <w:tcPr>
            <w:tcW w:w="14023" w:type="dxa"/>
            <w:gridSpan w:val="3"/>
            <w:tcMar>
              <w:left w:w="45" w:type="dxa"/>
              <w:right w:w="45" w:type="dxa"/>
            </w:tcMar>
            <w:vAlign w:val="center"/>
          </w:tcPr>
          <w:p w14:paraId="71D6526C">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规章制度</w:t>
            </w:r>
          </w:p>
        </w:tc>
      </w:tr>
      <w:tr w14:paraId="6535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680517">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2.1</w:t>
            </w:r>
          </w:p>
        </w:tc>
        <w:tc>
          <w:tcPr>
            <w:tcW w:w="14023" w:type="dxa"/>
            <w:gridSpan w:val="3"/>
            <w:tcMar>
              <w:left w:w="45" w:type="dxa"/>
              <w:right w:w="45" w:type="dxa"/>
            </w:tcMar>
            <w:vAlign w:val="center"/>
          </w:tcPr>
          <w:p w14:paraId="75980CEF">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实验室安全管理制度</w:t>
            </w:r>
          </w:p>
        </w:tc>
      </w:tr>
      <w:tr w14:paraId="746A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6FA0EF">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2.1.1</w:t>
            </w:r>
          </w:p>
        </w:tc>
        <w:tc>
          <w:tcPr>
            <w:tcW w:w="3703" w:type="dxa"/>
            <w:tcMar>
              <w:left w:w="45" w:type="dxa"/>
              <w:right w:w="45" w:type="dxa"/>
            </w:tcMar>
            <w:vAlign w:val="center"/>
          </w:tcPr>
          <w:p w14:paraId="157DC173">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学校和院系应有正式发文的实验室安全管理制度</w:t>
            </w:r>
          </w:p>
        </w:tc>
        <w:tc>
          <w:tcPr>
            <w:tcW w:w="7777" w:type="dxa"/>
            <w:tcMar>
              <w:left w:w="45" w:type="dxa"/>
              <w:right w:w="45" w:type="dxa"/>
            </w:tcMar>
            <w:vAlign w:val="center"/>
          </w:tcPr>
          <w:p w14:paraId="14731D57">
            <w:pPr>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1F394DCD">
            <w:pPr>
              <w:widowControl/>
              <w:spacing w:line="300" w:lineRule="exact"/>
              <w:rPr>
                <w:rFonts w:hint="default" w:ascii="Times New Roman" w:hAnsi="Times New Roman" w:eastAsia="仿宋_GB2312" w:cs="Times New Roman"/>
                <w:bCs/>
                <w:color w:val="auto"/>
                <w:kern w:val="0"/>
                <w:szCs w:val="21"/>
                <w:highlight w:val="none"/>
              </w:rPr>
            </w:pPr>
          </w:p>
        </w:tc>
      </w:tr>
      <w:tr w14:paraId="191F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89AF1A">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2.2</w:t>
            </w:r>
          </w:p>
        </w:tc>
        <w:tc>
          <w:tcPr>
            <w:tcW w:w="14023" w:type="dxa"/>
            <w:gridSpan w:val="3"/>
            <w:tcMar>
              <w:left w:w="45" w:type="dxa"/>
              <w:right w:w="45" w:type="dxa"/>
            </w:tcMar>
            <w:vAlign w:val="center"/>
          </w:tcPr>
          <w:p w14:paraId="440F46E5">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实验室安全管理办法或细则</w:t>
            </w:r>
          </w:p>
        </w:tc>
      </w:tr>
      <w:tr w14:paraId="1BCB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442DCF">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2.2.1</w:t>
            </w:r>
          </w:p>
        </w:tc>
        <w:tc>
          <w:tcPr>
            <w:tcW w:w="3703" w:type="dxa"/>
            <w:tcMar>
              <w:left w:w="45" w:type="dxa"/>
              <w:right w:w="45" w:type="dxa"/>
            </w:tcMar>
            <w:vAlign w:val="center"/>
          </w:tcPr>
          <w:p w14:paraId="6B9E4034">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有正式发文的实验室安全管理办法或细则</w:t>
            </w:r>
          </w:p>
        </w:tc>
        <w:tc>
          <w:tcPr>
            <w:tcW w:w="7777" w:type="dxa"/>
            <w:tcMar>
              <w:left w:w="45" w:type="dxa"/>
              <w:right w:w="45" w:type="dxa"/>
            </w:tcMar>
            <w:vAlign w:val="center"/>
          </w:tcPr>
          <w:p w14:paraId="3111FB36">
            <w:pPr>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19DF04E3">
            <w:pPr>
              <w:widowControl/>
              <w:spacing w:line="300" w:lineRule="exact"/>
              <w:rPr>
                <w:rFonts w:hint="default" w:ascii="Times New Roman" w:hAnsi="Times New Roman" w:eastAsia="仿宋_GB2312" w:cs="Times New Roman"/>
                <w:bCs/>
                <w:color w:val="auto"/>
                <w:kern w:val="0"/>
                <w:szCs w:val="21"/>
                <w:highlight w:val="none"/>
              </w:rPr>
            </w:pPr>
          </w:p>
        </w:tc>
      </w:tr>
      <w:tr w14:paraId="3F77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0E31F9">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2.3</w:t>
            </w:r>
          </w:p>
        </w:tc>
        <w:tc>
          <w:tcPr>
            <w:tcW w:w="14023" w:type="dxa"/>
            <w:gridSpan w:val="3"/>
            <w:tcMar>
              <w:left w:w="45" w:type="dxa"/>
              <w:right w:w="45" w:type="dxa"/>
            </w:tcMar>
            <w:vAlign w:val="center"/>
          </w:tcPr>
          <w:p w14:paraId="279FFB45">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安全应急制度</w:t>
            </w:r>
          </w:p>
        </w:tc>
      </w:tr>
      <w:tr w14:paraId="0927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8BFC0">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2.3.1</w:t>
            </w:r>
          </w:p>
        </w:tc>
        <w:tc>
          <w:tcPr>
            <w:tcW w:w="3703" w:type="dxa"/>
            <w:tcMar>
              <w:left w:w="45" w:type="dxa"/>
              <w:right w:w="45" w:type="dxa"/>
            </w:tcMar>
            <w:vAlign w:val="center"/>
          </w:tcPr>
          <w:p w14:paraId="27F10AD5">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学校、院系、实验室有相应的应急预案</w:t>
            </w:r>
          </w:p>
        </w:tc>
        <w:tc>
          <w:tcPr>
            <w:tcW w:w="7777" w:type="dxa"/>
            <w:tcMar>
              <w:left w:w="45" w:type="dxa"/>
              <w:right w:w="45" w:type="dxa"/>
            </w:tcMar>
            <w:vAlign w:val="center"/>
          </w:tcPr>
          <w:p w14:paraId="65395E4D">
            <w:pPr>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64E39067">
            <w:pPr>
              <w:widowControl/>
              <w:spacing w:line="300" w:lineRule="exact"/>
              <w:rPr>
                <w:rFonts w:hint="default" w:ascii="Times New Roman" w:hAnsi="Times New Roman" w:eastAsia="仿宋_GB2312" w:cs="Times New Roman"/>
                <w:bCs/>
                <w:color w:val="auto"/>
                <w:kern w:val="0"/>
                <w:highlight w:val="none"/>
              </w:rPr>
            </w:pPr>
          </w:p>
        </w:tc>
      </w:tr>
      <w:tr w14:paraId="73D4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9EB790">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3</w:t>
            </w:r>
          </w:p>
        </w:tc>
        <w:tc>
          <w:tcPr>
            <w:tcW w:w="14023" w:type="dxa"/>
            <w:gridSpan w:val="3"/>
            <w:tcMar>
              <w:left w:w="45" w:type="dxa"/>
              <w:right w:w="45" w:type="dxa"/>
            </w:tcMar>
            <w:vAlign w:val="center"/>
          </w:tcPr>
          <w:p w14:paraId="0AF4FE82">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教育培训</w:t>
            </w:r>
          </w:p>
        </w:tc>
      </w:tr>
      <w:tr w14:paraId="5D8A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BE4A56">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3.1</w:t>
            </w:r>
          </w:p>
        </w:tc>
        <w:tc>
          <w:tcPr>
            <w:tcW w:w="14023" w:type="dxa"/>
            <w:gridSpan w:val="3"/>
            <w:tcMar>
              <w:left w:w="45" w:type="dxa"/>
              <w:right w:w="45" w:type="dxa"/>
            </w:tcMar>
            <w:vAlign w:val="center"/>
          </w:tcPr>
          <w:p w14:paraId="0E368B4E">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安全教育培训活动</w:t>
            </w:r>
          </w:p>
        </w:tc>
      </w:tr>
      <w:tr w14:paraId="64EF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7C23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3.1.1</w:t>
            </w:r>
          </w:p>
        </w:tc>
        <w:tc>
          <w:tcPr>
            <w:tcW w:w="3703" w:type="dxa"/>
            <w:tcMar>
              <w:left w:w="45" w:type="dxa"/>
              <w:right w:w="45" w:type="dxa"/>
            </w:tcMar>
            <w:vAlign w:val="center"/>
          </w:tcPr>
          <w:p w14:paraId="7D23097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开设实验室安全必修课或选修课</w:t>
            </w:r>
          </w:p>
        </w:tc>
        <w:tc>
          <w:tcPr>
            <w:tcW w:w="7777" w:type="dxa"/>
            <w:tcMar>
              <w:left w:w="45" w:type="dxa"/>
              <w:right w:w="45" w:type="dxa"/>
            </w:tcMar>
            <w:vAlign w:val="center"/>
          </w:tcPr>
          <w:p w14:paraId="442F886D">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（24）对于有</w:t>
            </w:r>
            <w:r>
              <w:rPr>
                <w:rFonts w:hint="default" w:ascii="Times New Roman" w:hAnsi="Times New Roman" w:eastAsia="仿宋_GB2312" w:cs="Times New Roman"/>
                <w:color w:val="auto"/>
                <w:kern w:val="0"/>
                <w:szCs w:val="21"/>
                <w:highlight w:val="none"/>
              </w:rPr>
              <w:t>重要危险源</w:t>
            </w:r>
            <w:r>
              <w:rPr>
                <w:rFonts w:hint="default" w:ascii="Times New Roman" w:hAnsi="Times New Roman" w:eastAsia="仿宋_GB2312" w:cs="Times New Roman"/>
                <w:bCs/>
                <w:color w:val="auto"/>
                <w:kern w:val="0"/>
                <w:szCs w:val="21"/>
                <w:highlight w:val="none"/>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6E91A838">
            <w:pPr>
              <w:rPr>
                <w:rFonts w:hint="default" w:ascii="Times New Roman" w:hAnsi="Times New Roman" w:eastAsia="仿宋_GB2312" w:cs="Times New Roman"/>
                <w:bCs/>
                <w:color w:val="auto"/>
                <w:kern w:val="0"/>
                <w:szCs w:val="21"/>
                <w:highlight w:val="none"/>
              </w:rPr>
            </w:pPr>
          </w:p>
        </w:tc>
      </w:tr>
      <w:tr w14:paraId="4020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1ECB7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3.1.2</w:t>
            </w:r>
          </w:p>
        </w:tc>
        <w:tc>
          <w:tcPr>
            <w:tcW w:w="3703" w:type="dxa"/>
            <w:tcMar>
              <w:left w:w="45" w:type="dxa"/>
              <w:right w:w="45" w:type="dxa"/>
            </w:tcMar>
            <w:vAlign w:val="center"/>
          </w:tcPr>
          <w:p w14:paraId="31709DF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开展安全教育培训活动</w:t>
            </w:r>
          </w:p>
        </w:tc>
        <w:tc>
          <w:tcPr>
            <w:tcW w:w="7777" w:type="dxa"/>
            <w:tcMar>
              <w:left w:w="45" w:type="dxa"/>
              <w:right w:w="45" w:type="dxa"/>
            </w:tcMar>
            <w:vAlign w:val="center"/>
          </w:tcPr>
          <w:p w14:paraId="48684792">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（25）校级层面有档案证明开展了实验室安全教育培训。</w:t>
            </w:r>
          </w:p>
          <w:p w14:paraId="638E9323">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（26）院系层面有档案证明开展了实验室安全教育培训，</w:t>
            </w:r>
            <w:r>
              <w:rPr>
                <w:rFonts w:hint="default" w:ascii="Times New Roman" w:hAnsi="Times New Roman" w:eastAsia="仿宋_GB2312" w:cs="Times New Roman"/>
                <w:color w:val="auto"/>
                <w:kern w:val="0"/>
                <w:szCs w:val="21"/>
                <w:highlight w:val="none"/>
              </w:rPr>
              <w:t>重点关注外来人员和研究生新生</w:t>
            </w:r>
          </w:p>
        </w:tc>
        <w:tc>
          <w:tcPr>
            <w:tcW w:w="2543" w:type="dxa"/>
            <w:tcMar>
              <w:left w:w="45" w:type="dxa"/>
              <w:right w:w="45" w:type="dxa"/>
            </w:tcMar>
            <w:vAlign w:val="center"/>
          </w:tcPr>
          <w:p w14:paraId="6FAFA384">
            <w:pPr>
              <w:widowControl/>
              <w:spacing w:line="300" w:lineRule="exact"/>
              <w:rPr>
                <w:rFonts w:hint="default" w:ascii="Times New Roman" w:hAnsi="Times New Roman" w:eastAsia="仿宋_GB2312" w:cs="Times New Roman"/>
                <w:bCs/>
                <w:color w:val="auto"/>
                <w:kern w:val="0"/>
                <w:szCs w:val="21"/>
                <w:highlight w:val="none"/>
              </w:rPr>
            </w:pPr>
          </w:p>
        </w:tc>
      </w:tr>
      <w:tr w14:paraId="6C89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C4150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3.1.3</w:t>
            </w:r>
          </w:p>
        </w:tc>
        <w:tc>
          <w:tcPr>
            <w:tcW w:w="3703" w:type="dxa"/>
            <w:tcMar>
              <w:left w:w="45" w:type="dxa"/>
              <w:right w:w="45" w:type="dxa"/>
            </w:tcMar>
            <w:vAlign w:val="center"/>
          </w:tcPr>
          <w:p w14:paraId="1967CA7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开展结合学科特点的应急演练</w:t>
            </w:r>
          </w:p>
        </w:tc>
        <w:tc>
          <w:tcPr>
            <w:tcW w:w="7777" w:type="dxa"/>
            <w:tcMar>
              <w:left w:w="45" w:type="dxa"/>
              <w:right w:w="45" w:type="dxa"/>
            </w:tcMar>
            <w:vAlign w:val="center"/>
          </w:tcPr>
          <w:p w14:paraId="3DCE388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bCs/>
                <w:color w:val="auto"/>
                <w:kern w:val="0"/>
                <w:szCs w:val="21"/>
                <w:highlight w:val="none"/>
              </w:rPr>
              <w:t>（27）有实验室安全事故应急演练</w:t>
            </w:r>
          </w:p>
        </w:tc>
        <w:tc>
          <w:tcPr>
            <w:tcW w:w="2543" w:type="dxa"/>
            <w:tcMar>
              <w:left w:w="45" w:type="dxa"/>
              <w:right w:w="45" w:type="dxa"/>
            </w:tcMar>
            <w:vAlign w:val="center"/>
          </w:tcPr>
          <w:p w14:paraId="2B5B66F7">
            <w:pPr>
              <w:widowControl/>
              <w:spacing w:line="300" w:lineRule="exact"/>
              <w:rPr>
                <w:rFonts w:hint="default" w:ascii="Times New Roman" w:hAnsi="Times New Roman" w:eastAsia="仿宋_GB2312" w:cs="Times New Roman"/>
                <w:bCs/>
                <w:color w:val="auto"/>
                <w:kern w:val="0"/>
                <w:szCs w:val="21"/>
                <w:highlight w:val="none"/>
              </w:rPr>
            </w:pPr>
          </w:p>
        </w:tc>
      </w:tr>
      <w:tr w14:paraId="531C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336F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3.1.4</w:t>
            </w:r>
          </w:p>
        </w:tc>
        <w:tc>
          <w:tcPr>
            <w:tcW w:w="3703" w:type="dxa"/>
            <w:tcMar>
              <w:left w:w="45" w:type="dxa"/>
              <w:right w:w="45" w:type="dxa"/>
            </w:tcMar>
            <w:vAlign w:val="center"/>
          </w:tcPr>
          <w:p w14:paraId="6DC02C2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组织实验室安全知识考试</w:t>
            </w:r>
          </w:p>
        </w:tc>
        <w:tc>
          <w:tcPr>
            <w:tcW w:w="7777" w:type="dxa"/>
            <w:tcMar>
              <w:left w:w="45" w:type="dxa"/>
              <w:right w:w="45" w:type="dxa"/>
            </w:tcMar>
            <w:vAlign w:val="center"/>
          </w:tcPr>
          <w:p w14:paraId="006A6AE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0D92C85A">
            <w:pPr>
              <w:rPr>
                <w:rFonts w:hint="default" w:ascii="Times New Roman" w:hAnsi="Times New Roman" w:eastAsia="仿宋_GB2312" w:cs="Times New Roman"/>
                <w:b/>
                <w:bCs/>
                <w:color w:val="auto"/>
                <w:kern w:val="0"/>
                <w:szCs w:val="21"/>
                <w:highlight w:val="none"/>
              </w:rPr>
            </w:pPr>
          </w:p>
        </w:tc>
      </w:tr>
      <w:tr w14:paraId="1F35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07F15B">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3.2</w:t>
            </w:r>
          </w:p>
        </w:tc>
        <w:tc>
          <w:tcPr>
            <w:tcW w:w="14023" w:type="dxa"/>
            <w:gridSpan w:val="3"/>
            <w:tcMar>
              <w:left w:w="45" w:type="dxa"/>
              <w:right w:w="45" w:type="dxa"/>
            </w:tcMar>
            <w:vAlign w:val="center"/>
          </w:tcPr>
          <w:p w14:paraId="26C2EE1A">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安全文化</w:t>
            </w:r>
          </w:p>
        </w:tc>
      </w:tr>
      <w:tr w14:paraId="5B63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D4AB0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3.2.1</w:t>
            </w:r>
          </w:p>
        </w:tc>
        <w:tc>
          <w:tcPr>
            <w:tcW w:w="3703" w:type="dxa"/>
            <w:tcMar>
              <w:left w:w="45" w:type="dxa"/>
              <w:right w:w="45" w:type="dxa"/>
            </w:tcMar>
            <w:vAlign w:val="center"/>
          </w:tcPr>
          <w:p w14:paraId="20B1E1D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建设有学校特色的安全文化</w:t>
            </w:r>
          </w:p>
        </w:tc>
        <w:tc>
          <w:tcPr>
            <w:tcW w:w="7777" w:type="dxa"/>
            <w:tcMar>
              <w:left w:w="45" w:type="dxa"/>
              <w:right w:w="45" w:type="dxa"/>
            </w:tcMar>
            <w:vAlign w:val="center"/>
          </w:tcPr>
          <w:p w14:paraId="6332CF9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（29）学校有网页设立专栏开展安全宣传。</w:t>
            </w:r>
          </w:p>
          <w:p w14:paraId="2F5210A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（30）编印学校实验室安全手册，将实验室安全手册发放到每一位从事实验活动的师生。</w:t>
            </w:r>
          </w:p>
          <w:p w14:paraId="7A55666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39465CCD">
            <w:pPr>
              <w:widowControl/>
              <w:spacing w:line="300" w:lineRule="exact"/>
              <w:rPr>
                <w:rFonts w:hint="default" w:ascii="Times New Roman" w:hAnsi="Times New Roman" w:eastAsia="仿宋_GB2312" w:cs="Times New Roman"/>
                <w:b/>
                <w:bCs/>
                <w:color w:val="auto"/>
                <w:kern w:val="0"/>
                <w:szCs w:val="21"/>
                <w:highlight w:val="none"/>
              </w:rPr>
            </w:pPr>
          </w:p>
        </w:tc>
      </w:tr>
      <w:tr w14:paraId="35FE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6457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3.2.2</w:t>
            </w:r>
          </w:p>
        </w:tc>
        <w:tc>
          <w:tcPr>
            <w:tcW w:w="3703" w:type="dxa"/>
            <w:tcMar>
              <w:left w:w="45" w:type="dxa"/>
              <w:right w:w="45" w:type="dxa"/>
            </w:tcMar>
            <w:vAlign w:val="center"/>
          </w:tcPr>
          <w:p w14:paraId="4E7418C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建立实验室安全隐患举报制度</w:t>
            </w:r>
          </w:p>
        </w:tc>
        <w:tc>
          <w:tcPr>
            <w:tcW w:w="7777" w:type="dxa"/>
            <w:tcMar>
              <w:left w:w="45" w:type="dxa"/>
              <w:right w:w="45" w:type="dxa"/>
            </w:tcMar>
            <w:vAlign w:val="center"/>
          </w:tcPr>
          <w:p w14:paraId="56E7AB17">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（32）建立实验室安全隐患举报制度，公布实验室安全隐患举报邮箱、电话、信箱等</w:t>
            </w:r>
          </w:p>
        </w:tc>
        <w:tc>
          <w:tcPr>
            <w:tcW w:w="2543" w:type="dxa"/>
            <w:tcMar>
              <w:left w:w="45" w:type="dxa"/>
              <w:right w:w="45" w:type="dxa"/>
            </w:tcMar>
            <w:vAlign w:val="center"/>
          </w:tcPr>
          <w:p w14:paraId="109B6F05">
            <w:pPr>
              <w:rPr>
                <w:rFonts w:hint="default" w:ascii="Times New Roman" w:hAnsi="Times New Roman" w:eastAsia="仿宋_GB2312" w:cs="Times New Roman"/>
                <w:b/>
                <w:bCs/>
                <w:color w:val="auto"/>
                <w:kern w:val="0"/>
                <w:szCs w:val="21"/>
                <w:highlight w:val="none"/>
              </w:rPr>
            </w:pPr>
          </w:p>
        </w:tc>
      </w:tr>
      <w:tr w14:paraId="38A2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54B98F">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4</w:t>
            </w:r>
          </w:p>
        </w:tc>
        <w:tc>
          <w:tcPr>
            <w:tcW w:w="14023" w:type="dxa"/>
            <w:gridSpan w:val="3"/>
            <w:tcMar>
              <w:left w:w="45" w:type="dxa"/>
              <w:right w:w="45" w:type="dxa"/>
            </w:tcMar>
            <w:vAlign w:val="center"/>
          </w:tcPr>
          <w:p w14:paraId="6F5F5DEA">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color w:val="auto"/>
                <w:kern w:val="0"/>
                <w:szCs w:val="21"/>
                <w:highlight w:val="none"/>
              </w:rPr>
              <w:t>安全准入</w:t>
            </w:r>
          </w:p>
        </w:tc>
      </w:tr>
      <w:tr w14:paraId="35B7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523EAC">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4.1</w:t>
            </w:r>
          </w:p>
        </w:tc>
        <w:tc>
          <w:tcPr>
            <w:tcW w:w="11480" w:type="dxa"/>
            <w:gridSpan w:val="2"/>
            <w:tcMar>
              <w:left w:w="45" w:type="dxa"/>
              <w:right w:w="45" w:type="dxa"/>
            </w:tcMar>
            <w:vAlign w:val="center"/>
          </w:tcPr>
          <w:p w14:paraId="203B27C0">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项目安全准入</w:t>
            </w:r>
          </w:p>
        </w:tc>
        <w:tc>
          <w:tcPr>
            <w:tcW w:w="2543" w:type="dxa"/>
            <w:tcMar>
              <w:left w:w="45" w:type="dxa"/>
              <w:right w:w="45" w:type="dxa"/>
            </w:tcMar>
            <w:vAlign w:val="center"/>
          </w:tcPr>
          <w:p w14:paraId="1870AD5F">
            <w:pPr>
              <w:widowControl/>
              <w:spacing w:line="300" w:lineRule="exact"/>
              <w:rPr>
                <w:rFonts w:hint="default" w:ascii="Times New Roman" w:hAnsi="Times New Roman" w:eastAsia="仿宋_GB2312" w:cs="Times New Roman"/>
                <w:b/>
                <w:bCs/>
                <w:color w:val="auto"/>
                <w:kern w:val="0"/>
                <w:szCs w:val="21"/>
                <w:highlight w:val="none"/>
              </w:rPr>
            </w:pPr>
          </w:p>
        </w:tc>
      </w:tr>
      <w:tr w14:paraId="464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8C71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4.1.1</w:t>
            </w:r>
          </w:p>
        </w:tc>
        <w:tc>
          <w:tcPr>
            <w:tcW w:w="3703" w:type="dxa"/>
            <w:tcMar>
              <w:left w:w="45" w:type="dxa"/>
              <w:right w:w="45" w:type="dxa"/>
            </w:tcMar>
            <w:vAlign w:val="center"/>
          </w:tcPr>
          <w:p w14:paraId="76D9F97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对项目进行实验室安全风险评估，保证实验室满足开展项目活动的安全条件</w:t>
            </w:r>
          </w:p>
        </w:tc>
        <w:tc>
          <w:tcPr>
            <w:tcW w:w="7777" w:type="dxa"/>
            <w:tcMar>
              <w:left w:w="45" w:type="dxa"/>
              <w:right w:w="45" w:type="dxa"/>
            </w:tcMar>
            <w:vAlign w:val="center"/>
          </w:tcPr>
          <w:p w14:paraId="23445B1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1066795D">
            <w:pPr>
              <w:widowControl/>
              <w:spacing w:line="300" w:lineRule="exact"/>
              <w:rPr>
                <w:rFonts w:hint="default" w:ascii="Times New Roman" w:hAnsi="Times New Roman" w:eastAsia="仿宋_GB2312" w:cs="Times New Roman"/>
                <w:b/>
                <w:bCs/>
                <w:color w:val="auto"/>
                <w:kern w:val="0"/>
                <w:szCs w:val="21"/>
                <w:highlight w:val="none"/>
              </w:rPr>
            </w:pPr>
          </w:p>
        </w:tc>
      </w:tr>
      <w:tr w14:paraId="3E08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9A5EAC">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4.2</w:t>
            </w:r>
          </w:p>
        </w:tc>
        <w:tc>
          <w:tcPr>
            <w:tcW w:w="11480" w:type="dxa"/>
            <w:gridSpan w:val="2"/>
            <w:tcMar>
              <w:left w:w="45" w:type="dxa"/>
              <w:right w:w="45" w:type="dxa"/>
            </w:tcMar>
            <w:vAlign w:val="center"/>
          </w:tcPr>
          <w:p w14:paraId="152ED071">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人员安全准入</w:t>
            </w:r>
          </w:p>
        </w:tc>
        <w:tc>
          <w:tcPr>
            <w:tcW w:w="2543" w:type="dxa"/>
            <w:tcMar>
              <w:left w:w="45" w:type="dxa"/>
              <w:right w:w="45" w:type="dxa"/>
            </w:tcMar>
            <w:vAlign w:val="center"/>
          </w:tcPr>
          <w:p w14:paraId="3FFF3E5E">
            <w:pPr>
              <w:widowControl/>
              <w:spacing w:line="300" w:lineRule="exact"/>
              <w:rPr>
                <w:rFonts w:hint="default" w:ascii="Times New Roman" w:hAnsi="Times New Roman" w:eastAsia="仿宋_GB2312" w:cs="Times New Roman"/>
                <w:b/>
                <w:bCs/>
                <w:color w:val="auto"/>
                <w:kern w:val="0"/>
                <w:szCs w:val="21"/>
                <w:highlight w:val="none"/>
              </w:rPr>
            </w:pPr>
          </w:p>
        </w:tc>
      </w:tr>
      <w:tr w14:paraId="0FC1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AF3E9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4.2.1</w:t>
            </w:r>
          </w:p>
        </w:tc>
        <w:tc>
          <w:tcPr>
            <w:tcW w:w="3703" w:type="dxa"/>
            <w:tcMar>
              <w:left w:w="45" w:type="dxa"/>
              <w:right w:w="45" w:type="dxa"/>
            </w:tcMar>
            <w:vAlign w:val="center"/>
          </w:tcPr>
          <w:p w14:paraId="7801304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实验人员须经过安全培训和考核，获得实验室安全准入资格</w:t>
            </w:r>
          </w:p>
        </w:tc>
        <w:tc>
          <w:tcPr>
            <w:tcW w:w="7777" w:type="dxa"/>
            <w:tcMar>
              <w:left w:w="45" w:type="dxa"/>
              <w:right w:w="45" w:type="dxa"/>
            </w:tcMar>
            <w:vAlign w:val="center"/>
          </w:tcPr>
          <w:p w14:paraId="60A5CC3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（34）实验人员应获得实验室准入资格，并严格遵守各项管理制度</w:t>
            </w:r>
          </w:p>
        </w:tc>
        <w:tc>
          <w:tcPr>
            <w:tcW w:w="2543" w:type="dxa"/>
            <w:tcMar>
              <w:left w:w="45" w:type="dxa"/>
              <w:right w:w="45" w:type="dxa"/>
            </w:tcMar>
            <w:vAlign w:val="center"/>
          </w:tcPr>
          <w:p w14:paraId="53982B47">
            <w:pPr>
              <w:widowControl/>
              <w:spacing w:line="300" w:lineRule="exact"/>
              <w:rPr>
                <w:rFonts w:hint="default" w:ascii="Times New Roman" w:hAnsi="Times New Roman" w:eastAsia="仿宋_GB2312" w:cs="Times New Roman"/>
                <w:b/>
                <w:bCs/>
                <w:color w:val="auto"/>
                <w:kern w:val="0"/>
                <w:szCs w:val="21"/>
                <w:highlight w:val="none"/>
              </w:rPr>
            </w:pPr>
          </w:p>
        </w:tc>
      </w:tr>
      <w:tr w14:paraId="548A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A1F38">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4.3</w:t>
            </w:r>
          </w:p>
        </w:tc>
        <w:tc>
          <w:tcPr>
            <w:tcW w:w="11480" w:type="dxa"/>
            <w:gridSpan w:val="2"/>
            <w:tcMar>
              <w:left w:w="45" w:type="dxa"/>
              <w:right w:w="45" w:type="dxa"/>
            </w:tcMar>
            <w:vAlign w:val="center"/>
          </w:tcPr>
          <w:p w14:paraId="76BC9795">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安全风险分析</w:t>
            </w:r>
          </w:p>
        </w:tc>
        <w:tc>
          <w:tcPr>
            <w:tcW w:w="2543" w:type="dxa"/>
            <w:tcMar>
              <w:left w:w="45" w:type="dxa"/>
              <w:right w:w="45" w:type="dxa"/>
            </w:tcMar>
            <w:vAlign w:val="center"/>
          </w:tcPr>
          <w:p w14:paraId="3C10333A">
            <w:pPr>
              <w:widowControl/>
              <w:spacing w:line="300" w:lineRule="exact"/>
              <w:rPr>
                <w:rFonts w:hint="default" w:ascii="Times New Roman" w:hAnsi="Times New Roman" w:eastAsia="仿宋_GB2312" w:cs="Times New Roman"/>
                <w:b/>
                <w:bCs/>
                <w:color w:val="auto"/>
                <w:kern w:val="0"/>
                <w:szCs w:val="21"/>
                <w:highlight w:val="none"/>
              </w:rPr>
            </w:pPr>
          </w:p>
        </w:tc>
      </w:tr>
      <w:tr w14:paraId="4BA3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36D9C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4.3.1</w:t>
            </w:r>
          </w:p>
        </w:tc>
        <w:tc>
          <w:tcPr>
            <w:tcW w:w="3703" w:type="dxa"/>
            <w:tcMar>
              <w:left w:w="45" w:type="dxa"/>
              <w:right w:w="45" w:type="dxa"/>
            </w:tcMar>
            <w:vAlign w:val="center"/>
          </w:tcPr>
          <w:p w14:paraId="404E44B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对研究选题进行安全风险分析，做好防控和应急准备</w:t>
            </w:r>
          </w:p>
        </w:tc>
        <w:tc>
          <w:tcPr>
            <w:tcW w:w="7777" w:type="dxa"/>
            <w:tcMar>
              <w:left w:w="45" w:type="dxa"/>
              <w:right w:w="45" w:type="dxa"/>
            </w:tcMar>
            <w:vAlign w:val="center"/>
          </w:tcPr>
          <w:p w14:paraId="15AE357C">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（35）开展实验前应进行安全风险分析，尤其是</w:t>
            </w:r>
            <w:r>
              <w:rPr>
                <w:rFonts w:hint="default" w:ascii="Times New Roman" w:hAnsi="Times New Roman" w:eastAsia="仿宋_GB2312" w:cs="Times New Roman"/>
                <w:b/>
                <w:bCs/>
                <w:color w:val="auto"/>
                <w:kern w:val="0"/>
                <w:szCs w:val="21"/>
                <w:highlight w:val="none"/>
              </w:rPr>
              <w:t>改变关键参数必须重新进行分析，通过审核后方可进行实验</w:t>
            </w:r>
          </w:p>
        </w:tc>
        <w:tc>
          <w:tcPr>
            <w:tcW w:w="2543" w:type="dxa"/>
            <w:tcMar>
              <w:left w:w="45" w:type="dxa"/>
              <w:right w:w="45" w:type="dxa"/>
            </w:tcMar>
            <w:vAlign w:val="center"/>
          </w:tcPr>
          <w:p w14:paraId="5746A133">
            <w:pPr>
              <w:widowControl/>
              <w:spacing w:line="300" w:lineRule="exact"/>
              <w:rPr>
                <w:rFonts w:hint="default" w:ascii="Times New Roman" w:hAnsi="Times New Roman" w:eastAsia="仿宋_GB2312" w:cs="Times New Roman"/>
                <w:b/>
                <w:bCs/>
                <w:color w:val="auto"/>
                <w:kern w:val="0"/>
                <w:szCs w:val="21"/>
                <w:highlight w:val="none"/>
              </w:rPr>
            </w:pPr>
          </w:p>
        </w:tc>
      </w:tr>
      <w:tr w14:paraId="7489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32A89">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5</w:t>
            </w:r>
          </w:p>
        </w:tc>
        <w:tc>
          <w:tcPr>
            <w:tcW w:w="14023" w:type="dxa"/>
            <w:gridSpan w:val="3"/>
            <w:tcMar>
              <w:left w:w="45" w:type="dxa"/>
              <w:right w:w="45" w:type="dxa"/>
            </w:tcMar>
            <w:vAlign w:val="center"/>
          </w:tcPr>
          <w:p w14:paraId="59A39B4A">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安全检查</w:t>
            </w:r>
          </w:p>
        </w:tc>
      </w:tr>
      <w:tr w14:paraId="2789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F6447E">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5.1</w:t>
            </w:r>
          </w:p>
        </w:tc>
        <w:tc>
          <w:tcPr>
            <w:tcW w:w="14023" w:type="dxa"/>
            <w:gridSpan w:val="3"/>
            <w:tcMar>
              <w:left w:w="45" w:type="dxa"/>
              <w:right w:w="45" w:type="dxa"/>
            </w:tcMar>
            <w:vAlign w:val="center"/>
          </w:tcPr>
          <w:p w14:paraId="29AE874B">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危险源辨识</w:t>
            </w:r>
          </w:p>
        </w:tc>
      </w:tr>
      <w:tr w14:paraId="7EB9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3ECD9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5.1.1</w:t>
            </w:r>
          </w:p>
        </w:tc>
        <w:tc>
          <w:tcPr>
            <w:tcW w:w="3703" w:type="dxa"/>
            <w:tcMar>
              <w:left w:w="45" w:type="dxa"/>
              <w:right w:w="45" w:type="dxa"/>
            </w:tcMar>
            <w:vAlign w:val="center"/>
          </w:tcPr>
          <w:p w14:paraId="5A6211BD">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学校、院系、实验室层面建立危险源分布清单</w:t>
            </w:r>
          </w:p>
        </w:tc>
        <w:tc>
          <w:tcPr>
            <w:tcW w:w="7777" w:type="dxa"/>
            <w:tcMar>
              <w:left w:w="45" w:type="dxa"/>
              <w:right w:w="45" w:type="dxa"/>
            </w:tcMar>
            <w:vAlign w:val="center"/>
          </w:tcPr>
          <w:p w14:paraId="7F4F7179">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（36）清单内容须包括单位、房间、类别、数量、分级分类、责任人等信息</w:t>
            </w:r>
          </w:p>
        </w:tc>
        <w:tc>
          <w:tcPr>
            <w:tcW w:w="2543" w:type="dxa"/>
            <w:tcMar>
              <w:left w:w="45" w:type="dxa"/>
              <w:right w:w="45" w:type="dxa"/>
            </w:tcMar>
            <w:vAlign w:val="center"/>
          </w:tcPr>
          <w:p w14:paraId="25C12BCA">
            <w:pPr>
              <w:widowControl/>
              <w:spacing w:line="300" w:lineRule="exact"/>
              <w:rPr>
                <w:rFonts w:hint="default" w:ascii="Times New Roman" w:hAnsi="Times New Roman" w:eastAsia="仿宋_GB2312" w:cs="Times New Roman"/>
                <w:bCs/>
                <w:color w:val="auto"/>
                <w:kern w:val="0"/>
                <w:szCs w:val="21"/>
                <w:highlight w:val="none"/>
              </w:rPr>
            </w:pPr>
          </w:p>
        </w:tc>
      </w:tr>
      <w:tr w14:paraId="730E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8FFBB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5.1.2</w:t>
            </w:r>
          </w:p>
        </w:tc>
        <w:tc>
          <w:tcPr>
            <w:tcW w:w="3703" w:type="dxa"/>
            <w:tcMar>
              <w:left w:w="45" w:type="dxa"/>
              <w:right w:w="45" w:type="dxa"/>
            </w:tcMar>
            <w:vAlign w:val="center"/>
          </w:tcPr>
          <w:p w14:paraId="12B8EA36">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涉及危险源的实验场所，须有明确的警示标识</w:t>
            </w:r>
          </w:p>
        </w:tc>
        <w:tc>
          <w:tcPr>
            <w:tcW w:w="7777" w:type="dxa"/>
            <w:tcMar>
              <w:left w:w="45" w:type="dxa"/>
              <w:right w:w="45" w:type="dxa"/>
            </w:tcMar>
            <w:vAlign w:val="center"/>
          </w:tcPr>
          <w:p w14:paraId="5AFDD2B6">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（37）涉及重要危险源（见第15目）的场所，有显著的警示标识</w:t>
            </w:r>
          </w:p>
        </w:tc>
        <w:tc>
          <w:tcPr>
            <w:tcW w:w="2543" w:type="dxa"/>
            <w:tcMar>
              <w:left w:w="45" w:type="dxa"/>
              <w:right w:w="45" w:type="dxa"/>
            </w:tcMar>
            <w:vAlign w:val="center"/>
          </w:tcPr>
          <w:p w14:paraId="568979B1">
            <w:pPr>
              <w:widowControl/>
              <w:spacing w:line="300" w:lineRule="exact"/>
              <w:rPr>
                <w:rFonts w:hint="default" w:ascii="Times New Roman" w:hAnsi="Times New Roman" w:eastAsia="仿宋_GB2312" w:cs="Times New Roman"/>
                <w:bCs/>
                <w:color w:val="auto"/>
                <w:kern w:val="0"/>
                <w:szCs w:val="21"/>
                <w:highlight w:val="none"/>
              </w:rPr>
            </w:pPr>
          </w:p>
        </w:tc>
      </w:tr>
      <w:tr w14:paraId="2BE5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807C4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5.1.3</w:t>
            </w:r>
          </w:p>
        </w:tc>
        <w:tc>
          <w:tcPr>
            <w:tcW w:w="3703" w:type="dxa"/>
            <w:tcMar>
              <w:left w:w="45" w:type="dxa"/>
              <w:right w:w="45" w:type="dxa"/>
            </w:tcMar>
            <w:vAlign w:val="center"/>
          </w:tcPr>
          <w:p w14:paraId="672C800A">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建立针对重要危险源的风险管理和应急预案</w:t>
            </w:r>
          </w:p>
        </w:tc>
        <w:tc>
          <w:tcPr>
            <w:tcW w:w="7777" w:type="dxa"/>
            <w:tcMar>
              <w:left w:w="45" w:type="dxa"/>
              <w:right w:w="45" w:type="dxa"/>
            </w:tcMar>
            <w:vAlign w:val="center"/>
          </w:tcPr>
          <w:p w14:paraId="3138EE14">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70124510">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（39）院系和实验室应建立针对重要危险源的应急预案</w:t>
            </w:r>
          </w:p>
        </w:tc>
        <w:tc>
          <w:tcPr>
            <w:tcW w:w="2543" w:type="dxa"/>
            <w:tcMar>
              <w:left w:w="45" w:type="dxa"/>
              <w:right w:w="45" w:type="dxa"/>
            </w:tcMar>
            <w:vAlign w:val="center"/>
          </w:tcPr>
          <w:p w14:paraId="07F061D0">
            <w:pPr>
              <w:widowControl/>
              <w:spacing w:line="300" w:lineRule="exact"/>
              <w:rPr>
                <w:rFonts w:hint="default" w:ascii="Times New Roman" w:hAnsi="Times New Roman" w:eastAsia="仿宋_GB2312" w:cs="Times New Roman"/>
                <w:bCs/>
                <w:color w:val="auto"/>
                <w:kern w:val="0"/>
                <w:szCs w:val="21"/>
                <w:highlight w:val="none"/>
              </w:rPr>
            </w:pPr>
          </w:p>
        </w:tc>
      </w:tr>
      <w:tr w14:paraId="4A39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A4E3F6">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5.2</w:t>
            </w:r>
          </w:p>
        </w:tc>
        <w:tc>
          <w:tcPr>
            <w:tcW w:w="14023" w:type="dxa"/>
            <w:gridSpan w:val="3"/>
            <w:tcMar>
              <w:left w:w="45" w:type="dxa"/>
              <w:right w:w="45" w:type="dxa"/>
            </w:tcMar>
            <w:vAlign w:val="center"/>
          </w:tcPr>
          <w:p w14:paraId="7DCA054B">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安全检查</w:t>
            </w:r>
          </w:p>
        </w:tc>
      </w:tr>
      <w:tr w14:paraId="7563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0D1D3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5.2.1</w:t>
            </w:r>
          </w:p>
        </w:tc>
        <w:tc>
          <w:tcPr>
            <w:tcW w:w="3703" w:type="dxa"/>
            <w:tcMar>
              <w:left w:w="45" w:type="dxa"/>
              <w:right w:w="45" w:type="dxa"/>
            </w:tcMar>
            <w:vAlign w:val="center"/>
          </w:tcPr>
          <w:p w14:paraId="48257BED">
            <w:pPr>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bCs/>
                <w:color w:val="auto"/>
                <w:kern w:val="0"/>
                <w:szCs w:val="21"/>
                <w:highlight w:val="none"/>
              </w:rPr>
              <w:t>学校、院系层面安全检查及实验室自检自查</w:t>
            </w:r>
          </w:p>
        </w:tc>
        <w:tc>
          <w:tcPr>
            <w:tcW w:w="7777" w:type="dxa"/>
            <w:tcMar>
              <w:left w:w="45" w:type="dxa"/>
              <w:right w:w="45" w:type="dxa"/>
            </w:tcMar>
            <w:vAlign w:val="center"/>
          </w:tcPr>
          <w:p w14:paraId="6110037E">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3E62F528">
            <w:pPr>
              <w:widowControl/>
              <w:spacing w:line="300" w:lineRule="exact"/>
              <w:rPr>
                <w:rFonts w:hint="default" w:ascii="Times New Roman" w:hAnsi="Times New Roman" w:eastAsia="仿宋_GB2312" w:cs="Times New Roman"/>
                <w:bCs/>
                <w:color w:val="auto"/>
                <w:kern w:val="0"/>
                <w:szCs w:val="21"/>
                <w:highlight w:val="none"/>
              </w:rPr>
            </w:pPr>
          </w:p>
        </w:tc>
      </w:tr>
      <w:tr w14:paraId="4120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D982B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5.2.2</w:t>
            </w:r>
          </w:p>
        </w:tc>
        <w:tc>
          <w:tcPr>
            <w:tcW w:w="3703" w:type="dxa"/>
            <w:tcMar>
              <w:left w:w="45" w:type="dxa"/>
              <w:right w:w="45" w:type="dxa"/>
            </w:tcMar>
            <w:vAlign w:val="center"/>
          </w:tcPr>
          <w:p w14:paraId="26796E4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针对高危实验物品及实验过程开展专项检查</w:t>
            </w:r>
          </w:p>
        </w:tc>
        <w:tc>
          <w:tcPr>
            <w:tcW w:w="7777" w:type="dxa"/>
            <w:tcMar>
              <w:left w:w="45" w:type="dxa"/>
              <w:right w:w="45" w:type="dxa"/>
            </w:tcMar>
            <w:vAlign w:val="center"/>
          </w:tcPr>
          <w:p w14:paraId="1B8900B9">
            <w:pPr>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（41）针对</w:t>
            </w:r>
            <w:r>
              <w:rPr>
                <w:rFonts w:hint="default" w:ascii="Times New Roman" w:hAnsi="Times New Roman" w:eastAsia="仿宋_GB2312" w:cs="Times New Roman"/>
                <w:bCs/>
                <w:color w:val="auto"/>
                <w:kern w:val="0"/>
                <w:szCs w:val="21"/>
                <w:highlight w:val="none"/>
              </w:rPr>
              <w:t>重要危险源（见第15目）</w:t>
            </w:r>
            <w:r>
              <w:rPr>
                <w:rFonts w:hint="default" w:ascii="Times New Roman" w:hAnsi="Times New Roman" w:eastAsia="仿宋_GB2312" w:cs="Times New Roman"/>
                <w:color w:val="auto"/>
                <w:kern w:val="0"/>
                <w:szCs w:val="21"/>
                <w:highlight w:val="none"/>
              </w:rPr>
              <w:t>，开展定期专项检查</w:t>
            </w:r>
          </w:p>
        </w:tc>
        <w:tc>
          <w:tcPr>
            <w:tcW w:w="2543" w:type="dxa"/>
            <w:tcMar>
              <w:left w:w="45" w:type="dxa"/>
              <w:right w:w="45" w:type="dxa"/>
            </w:tcMar>
            <w:vAlign w:val="center"/>
          </w:tcPr>
          <w:p w14:paraId="71ED8C00">
            <w:pPr>
              <w:widowControl/>
              <w:spacing w:line="300" w:lineRule="exact"/>
              <w:rPr>
                <w:rFonts w:hint="default" w:ascii="Times New Roman" w:hAnsi="Times New Roman" w:eastAsia="仿宋_GB2312" w:cs="Times New Roman"/>
                <w:bCs/>
                <w:color w:val="auto"/>
                <w:kern w:val="0"/>
                <w:szCs w:val="21"/>
                <w:highlight w:val="none"/>
              </w:rPr>
            </w:pPr>
          </w:p>
        </w:tc>
      </w:tr>
      <w:tr w14:paraId="171D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05FB9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5.2.3</w:t>
            </w:r>
          </w:p>
        </w:tc>
        <w:tc>
          <w:tcPr>
            <w:tcW w:w="3703" w:type="dxa"/>
            <w:tcMar>
              <w:left w:w="45" w:type="dxa"/>
              <w:right w:w="45" w:type="dxa"/>
            </w:tcMar>
            <w:vAlign w:val="center"/>
          </w:tcPr>
          <w:p w14:paraId="379107C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安全检查人员应配备专业的防护和计量用具</w:t>
            </w:r>
          </w:p>
        </w:tc>
        <w:tc>
          <w:tcPr>
            <w:tcW w:w="7777" w:type="dxa"/>
            <w:tcMar>
              <w:left w:w="45" w:type="dxa"/>
              <w:right w:w="45" w:type="dxa"/>
            </w:tcMar>
            <w:vAlign w:val="center"/>
          </w:tcPr>
          <w:p w14:paraId="51E41AC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36E555E9">
            <w:pPr>
              <w:widowControl/>
              <w:spacing w:line="300" w:lineRule="exact"/>
              <w:rPr>
                <w:rFonts w:hint="default" w:ascii="Times New Roman" w:hAnsi="Times New Roman" w:eastAsia="仿宋_GB2312" w:cs="Times New Roman"/>
                <w:color w:val="auto"/>
                <w:highlight w:val="none"/>
              </w:rPr>
            </w:pPr>
          </w:p>
        </w:tc>
      </w:tr>
      <w:tr w14:paraId="7A3D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0C729E">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5.3</w:t>
            </w:r>
          </w:p>
        </w:tc>
        <w:tc>
          <w:tcPr>
            <w:tcW w:w="14023" w:type="dxa"/>
            <w:gridSpan w:val="3"/>
            <w:tcMar>
              <w:left w:w="45" w:type="dxa"/>
              <w:right w:w="45" w:type="dxa"/>
            </w:tcMar>
            <w:vAlign w:val="center"/>
          </w:tcPr>
          <w:p w14:paraId="2995FDFA">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安全隐患整改</w:t>
            </w:r>
          </w:p>
        </w:tc>
      </w:tr>
      <w:tr w14:paraId="3F3E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E502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5.3.1</w:t>
            </w:r>
          </w:p>
        </w:tc>
        <w:tc>
          <w:tcPr>
            <w:tcW w:w="3703" w:type="dxa"/>
            <w:tcMar>
              <w:left w:w="45" w:type="dxa"/>
              <w:right w:w="45" w:type="dxa"/>
            </w:tcMar>
            <w:vAlign w:val="center"/>
          </w:tcPr>
          <w:p w14:paraId="2C86DC5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检查中发现的问题应以正式形式通知到相关负责人</w:t>
            </w:r>
          </w:p>
        </w:tc>
        <w:tc>
          <w:tcPr>
            <w:tcW w:w="7777" w:type="dxa"/>
            <w:tcMar>
              <w:left w:w="45" w:type="dxa"/>
              <w:right w:w="45" w:type="dxa"/>
            </w:tcMar>
            <w:vAlign w:val="center"/>
          </w:tcPr>
          <w:p w14:paraId="4CBFB119">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（43）通知的方式包括校网上公告、实验室安全简报、书面或电子的整改通知书等形式</w:t>
            </w:r>
          </w:p>
        </w:tc>
        <w:tc>
          <w:tcPr>
            <w:tcW w:w="2543" w:type="dxa"/>
            <w:tcMar>
              <w:left w:w="45" w:type="dxa"/>
              <w:right w:w="45" w:type="dxa"/>
            </w:tcMar>
            <w:vAlign w:val="center"/>
          </w:tcPr>
          <w:p w14:paraId="70F9EE76">
            <w:pPr>
              <w:widowControl/>
              <w:spacing w:line="300" w:lineRule="exact"/>
              <w:rPr>
                <w:rFonts w:hint="default" w:ascii="Times New Roman" w:hAnsi="Times New Roman" w:eastAsia="仿宋_GB2312" w:cs="Times New Roman"/>
                <w:bCs/>
                <w:color w:val="auto"/>
                <w:kern w:val="0"/>
                <w:szCs w:val="21"/>
                <w:highlight w:val="none"/>
              </w:rPr>
            </w:pPr>
          </w:p>
        </w:tc>
      </w:tr>
      <w:tr w14:paraId="6B5E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876B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5.3.2</w:t>
            </w:r>
          </w:p>
        </w:tc>
        <w:tc>
          <w:tcPr>
            <w:tcW w:w="3703" w:type="dxa"/>
            <w:tcMar>
              <w:left w:w="45" w:type="dxa"/>
              <w:right w:w="45" w:type="dxa"/>
            </w:tcMar>
            <w:vAlign w:val="center"/>
          </w:tcPr>
          <w:p w14:paraId="502ED05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院系须及时组织隐患整改</w:t>
            </w:r>
          </w:p>
        </w:tc>
        <w:tc>
          <w:tcPr>
            <w:tcW w:w="7777" w:type="dxa"/>
            <w:tcMar>
              <w:left w:w="45" w:type="dxa"/>
              <w:right w:w="45" w:type="dxa"/>
            </w:tcMar>
            <w:vAlign w:val="center"/>
          </w:tcPr>
          <w:p w14:paraId="2EFAE07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（44）整改报告应在规定时间内提交学校管理部门。</w:t>
            </w:r>
          </w:p>
          <w:p w14:paraId="6980EBD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（45）</w:t>
            </w:r>
            <w:r>
              <w:rPr>
                <w:rFonts w:hint="default" w:ascii="Times New Roman" w:hAnsi="Times New Roman" w:eastAsia="仿宋_GB2312" w:cs="Times New Roman"/>
                <w:b/>
                <w:bCs/>
                <w:color w:val="auto"/>
                <w:kern w:val="0"/>
                <w:szCs w:val="21"/>
                <w:highlight w:val="none"/>
              </w:rPr>
              <w:t>如存在重大隐患，实验室应立即停止实验活动，整改完成或采取相应防护措施后方能恢复实验</w:t>
            </w:r>
          </w:p>
        </w:tc>
        <w:tc>
          <w:tcPr>
            <w:tcW w:w="2543" w:type="dxa"/>
            <w:tcMar>
              <w:left w:w="45" w:type="dxa"/>
              <w:right w:w="45" w:type="dxa"/>
            </w:tcMar>
            <w:vAlign w:val="center"/>
          </w:tcPr>
          <w:p w14:paraId="11E3CDE7">
            <w:pPr>
              <w:widowControl/>
              <w:spacing w:line="300" w:lineRule="exact"/>
              <w:rPr>
                <w:rFonts w:hint="default" w:ascii="Times New Roman" w:hAnsi="Times New Roman" w:eastAsia="仿宋_GB2312" w:cs="Times New Roman"/>
                <w:bCs/>
                <w:color w:val="auto"/>
                <w:kern w:val="0"/>
                <w:szCs w:val="21"/>
                <w:highlight w:val="none"/>
              </w:rPr>
            </w:pPr>
          </w:p>
        </w:tc>
      </w:tr>
      <w:tr w14:paraId="1562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9DD2CD">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5.4</w:t>
            </w:r>
          </w:p>
        </w:tc>
        <w:tc>
          <w:tcPr>
            <w:tcW w:w="14023" w:type="dxa"/>
            <w:gridSpan w:val="3"/>
            <w:tcMar>
              <w:left w:w="45" w:type="dxa"/>
              <w:right w:w="45" w:type="dxa"/>
            </w:tcMar>
            <w:vAlign w:val="center"/>
          </w:tcPr>
          <w:p w14:paraId="0EACC72F">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安全报告</w:t>
            </w:r>
          </w:p>
        </w:tc>
      </w:tr>
      <w:tr w14:paraId="0AF6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3F28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5.4.1</w:t>
            </w:r>
          </w:p>
        </w:tc>
        <w:tc>
          <w:tcPr>
            <w:tcW w:w="3703" w:type="dxa"/>
            <w:tcMar>
              <w:left w:w="45" w:type="dxa"/>
              <w:right w:w="45" w:type="dxa"/>
            </w:tcMar>
            <w:vAlign w:val="center"/>
          </w:tcPr>
          <w:p w14:paraId="5F8BAFF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学校有定期/不定期</w:t>
            </w:r>
            <w:r>
              <w:rPr>
                <w:rFonts w:hint="default" w:ascii="Times New Roman" w:hAnsi="Times New Roman" w:eastAsia="仿宋_GB2312" w:cs="Times New Roman"/>
                <w:bCs/>
                <w:color w:val="auto"/>
                <w:kern w:val="0"/>
                <w:szCs w:val="21"/>
                <w:highlight w:val="none"/>
              </w:rPr>
              <w:t>的</w:t>
            </w:r>
            <w:r>
              <w:rPr>
                <w:rFonts w:hint="default" w:ascii="Times New Roman" w:hAnsi="Times New Roman" w:eastAsia="仿宋_GB2312" w:cs="Times New Roman"/>
                <w:color w:val="auto"/>
                <w:kern w:val="0"/>
                <w:szCs w:val="21"/>
                <w:highlight w:val="none"/>
              </w:rPr>
              <w:t>安全检查通报；院系有安全检查及整改记录</w:t>
            </w:r>
          </w:p>
        </w:tc>
        <w:tc>
          <w:tcPr>
            <w:tcW w:w="7777" w:type="dxa"/>
            <w:tcMar>
              <w:left w:w="45" w:type="dxa"/>
              <w:right w:w="45" w:type="dxa"/>
            </w:tcMar>
            <w:vAlign w:val="center"/>
          </w:tcPr>
          <w:p w14:paraId="0CEB1E1B">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（46）存有相关资料或电子文档</w:t>
            </w:r>
          </w:p>
        </w:tc>
        <w:tc>
          <w:tcPr>
            <w:tcW w:w="2543" w:type="dxa"/>
            <w:tcMar>
              <w:left w:w="45" w:type="dxa"/>
              <w:right w:w="45" w:type="dxa"/>
            </w:tcMar>
            <w:vAlign w:val="center"/>
          </w:tcPr>
          <w:p w14:paraId="32EEB731">
            <w:pPr>
              <w:widowControl/>
              <w:spacing w:line="300" w:lineRule="exact"/>
              <w:rPr>
                <w:rFonts w:hint="default" w:ascii="Times New Roman" w:hAnsi="Times New Roman" w:eastAsia="仿宋_GB2312" w:cs="Times New Roman"/>
                <w:bCs/>
                <w:color w:val="auto"/>
                <w:kern w:val="0"/>
                <w:szCs w:val="21"/>
                <w:highlight w:val="none"/>
              </w:rPr>
            </w:pPr>
          </w:p>
        </w:tc>
      </w:tr>
      <w:tr w14:paraId="0F72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6F140F">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6</w:t>
            </w:r>
          </w:p>
        </w:tc>
        <w:tc>
          <w:tcPr>
            <w:tcW w:w="14023" w:type="dxa"/>
            <w:gridSpan w:val="3"/>
            <w:tcMar>
              <w:left w:w="45" w:type="dxa"/>
              <w:right w:w="45" w:type="dxa"/>
            </w:tcMar>
            <w:vAlign w:val="center"/>
          </w:tcPr>
          <w:p w14:paraId="01615E7E">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实验场所</w:t>
            </w:r>
          </w:p>
        </w:tc>
      </w:tr>
      <w:tr w14:paraId="1760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C30C3A">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6.1</w:t>
            </w:r>
          </w:p>
        </w:tc>
        <w:tc>
          <w:tcPr>
            <w:tcW w:w="14023" w:type="dxa"/>
            <w:gridSpan w:val="3"/>
            <w:tcMar>
              <w:left w:w="45" w:type="dxa"/>
              <w:right w:w="45" w:type="dxa"/>
            </w:tcMar>
            <w:vAlign w:val="center"/>
          </w:tcPr>
          <w:p w14:paraId="7EB8ECCA">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场所环境</w:t>
            </w:r>
          </w:p>
        </w:tc>
      </w:tr>
      <w:tr w14:paraId="6E04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E8E772">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6.1.1</w:t>
            </w:r>
          </w:p>
        </w:tc>
        <w:tc>
          <w:tcPr>
            <w:tcW w:w="3703" w:type="dxa"/>
            <w:tcMar>
              <w:left w:w="45" w:type="dxa"/>
              <w:right w:w="45" w:type="dxa"/>
            </w:tcMar>
            <w:vAlign w:val="center"/>
          </w:tcPr>
          <w:p w14:paraId="0E03E8DE">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实验场所应张贴安全信息牌</w:t>
            </w:r>
          </w:p>
        </w:tc>
        <w:tc>
          <w:tcPr>
            <w:tcW w:w="7777" w:type="dxa"/>
            <w:tcMar>
              <w:left w:w="45" w:type="dxa"/>
              <w:right w:w="45" w:type="dxa"/>
            </w:tcMar>
            <w:vAlign w:val="center"/>
          </w:tcPr>
          <w:p w14:paraId="47094837">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szCs w:val="21"/>
                <w:highlight w:val="none"/>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4A244F54">
            <w:pPr>
              <w:widowControl/>
              <w:spacing w:line="300" w:lineRule="exact"/>
              <w:rPr>
                <w:rFonts w:hint="default" w:ascii="Times New Roman" w:hAnsi="Times New Roman" w:eastAsia="仿宋_GB2312" w:cs="Times New Roman"/>
                <w:bCs/>
                <w:color w:val="auto"/>
                <w:kern w:val="0"/>
                <w:szCs w:val="21"/>
                <w:highlight w:val="none"/>
              </w:rPr>
            </w:pPr>
          </w:p>
        </w:tc>
      </w:tr>
      <w:tr w14:paraId="43F6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06522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6.1.2</w:t>
            </w:r>
          </w:p>
        </w:tc>
        <w:tc>
          <w:tcPr>
            <w:tcW w:w="3703" w:type="dxa"/>
            <w:tcMar>
              <w:left w:w="45" w:type="dxa"/>
              <w:right w:w="45" w:type="dxa"/>
            </w:tcMar>
            <w:vAlign w:val="center"/>
          </w:tcPr>
          <w:p w14:paraId="378964A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实验场所应具备合理的安全空间布局</w:t>
            </w:r>
          </w:p>
        </w:tc>
        <w:tc>
          <w:tcPr>
            <w:tcW w:w="7777" w:type="dxa"/>
            <w:tcMar>
              <w:left w:w="45" w:type="dxa"/>
              <w:right w:w="45" w:type="dxa"/>
            </w:tcMar>
            <w:vAlign w:val="center"/>
          </w:tcPr>
          <w:p w14:paraId="2CE80C87">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（48）超过200m</w:t>
            </w:r>
            <w:r>
              <w:rPr>
                <w:rFonts w:hint="default" w:ascii="Times New Roman" w:hAnsi="Times New Roman" w:eastAsia="仿宋_GB2312" w:cs="Times New Roman"/>
                <w:color w:val="auto"/>
                <w:szCs w:val="21"/>
                <w:highlight w:val="none"/>
                <w:vertAlign w:val="superscript"/>
              </w:rPr>
              <w:t>2</w:t>
            </w:r>
            <w:r>
              <w:rPr>
                <w:rFonts w:hint="default" w:ascii="Times New Roman" w:hAnsi="Times New Roman" w:eastAsia="仿宋_GB2312" w:cs="Times New Roman"/>
                <w:color w:val="auto"/>
                <w:szCs w:val="21"/>
                <w:highlight w:val="none"/>
              </w:rPr>
              <w:t>的实验楼层具有至少两处安全出口，75m</w:t>
            </w:r>
            <w:r>
              <w:rPr>
                <w:rFonts w:hint="default" w:ascii="Times New Roman" w:hAnsi="Times New Roman" w:eastAsia="仿宋_GB2312" w:cs="Times New Roman"/>
                <w:color w:val="auto"/>
                <w:szCs w:val="21"/>
                <w:highlight w:val="none"/>
                <w:vertAlign w:val="superscript"/>
              </w:rPr>
              <w:t>2</w:t>
            </w:r>
            <w:r>
              <w:rPr>
                <w:rFonts w:hint="default" w:ascii="Times New Roman" w:hAnsi="Times New Roman" w:eastAsia="仿宋_GB2312" w:cs="Times New Roman"/>
                <w:color w:val="auto"/>
                <w:szCs w:val="21"/>
                <w:highlight w:val="none"/>
              </w:rPr>
              <w:t>以上实验室要有两个出入口。</w:t>
            </w:r>
          </w:p>
          <w:p w14:paraId="5D355C0D">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（49）实验楼大走廊保证留有大于1.5m净宽的消防通道。</w:t>
            </w:r>
          </w:p>
          <w:p w14:paraId="631943B9">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（50）实验室操作区层高不低于2m。</w:t>
            </w:r>
          </w:p>
          <w:p w14:paraId="5B480AB7">
            <w:pPr>
              <w:widowControl/>
              <w:spacing w:line="300" w:lineRule="exact"/>
              <w:rPr>
                <w:rFonts w:hint="default" w:ascii="Times New Roman" w:hAnsi="Times New Roman" w:eastAsia="仿宋_GB2312" w:cs="Times New Roman"/>
                <w:color w:val="auto"/>
                <w:szCs w:val="21"/>
                <w:highlight w:val="none"/>
                <w:vertAlign w:val="superscript"/>
              </w:rPr>
            </w:pPr>
            <w:r>
              <w:rPr>
                <w:rFonts w:hint="default" w:ascii="Times New Roman" w:hAnsi="Times New Roman" w:eastAsia="仿宋_GB2312" w:cs="Times New Roman"/>
                <w:color w:val="auto"/>
                <w:szCs w:val="21"/>
                <w:highlight w:val="none"/>
              </w:rPr>
              <w:t>（51）理工农医类实验室内多人同时进行实验时，人均操作面积不小于2.5m</w:t>
            </w:r>
            <w:r>
              <w:rPr>
                <w:rFonts w:hint="default" w:ascii="Times New Roman" w:hAnsi="Times New Roman" w:eastAsia="仿宋_GB2312" w:cs="Times New Roman"/>
                <w:color w:val="auto"/>
                <w:szCs w:val="21"/>
                <w:highlight w:val="none"/>
                <w:vertAlign w:val="superscript"/>
              </w:rPr>
              <w:t>2</w:t>
            </w:r>
          </w:p>
        </w:tc>
        <w:tc>
          <w:tcPr>
            <w:tcW w:w="2543" w:type="dxa"/>
            <w:tcMar>
              <w:left w:w="45" w:type="dxa"/>
              <w:right w:w="45" w:type="dxa"/>
            </w:tcMar>
            <w:vAlign w:val="center"/>
          </w:tcPr>
          <w:p w14:paraId="75CFE7A4">
            <w:pPr>
              <w:widowControl/>
              <w:spacing w:line="300" w:lineRule="exact"/>
              <w:rPr>
                <w:rFonts w:hint="default" w:ascii="Times New Roman" w:hAnsi="Times New Roman" w:eastAsia="仿宋_GB2312" w:cs="Times New Roman"/>
                <w:bCs/>
                <w:color w:val="auto"/>
                <w:kern w:val="0"/>
                <w:szCs w:val="21"/>
                <w:highlight w:val="none"/>
              </w:rPr>
            </w:pPr>
          </w:p>
        </w:tc>
      </w:tr>
      <w:tr w14:paraId="5763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4AC65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6.1.3</w:t>
            </w:r>
          </w:p>
        </w:tc>
        <w:tc>
          <w:tcPr>
            <w:tcW w:w="3703" w:type="dxa"/>
            <w:tcMar>
              <w:left w:w="45" w:type="dxa"/>
              <w:right w:w="45" w:type="dxa"/>
            </w:tcMar>
            <w:vAlign w:val="center"/>
          </w:tcPr>
          <w:p w14:paraId="46A6E33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消防通道通畅</w:t>
            </w:r>
          </w:p>
        </w:tc>
        <w:tc>
          <w:tcPr>
            <w:tcW w:w="7777" w:type="dxa"/>
            <w:tcMar>
              <w:left w:w="45" w:type="dxa"/>
              <w:right w:w="45" w:type="dxa"/>
            </w:tcMar>
            <w:vAlign w:val="center"/>
          </w:tcPr>
          <w:p w14:paraId="0B68CF37">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szCs w:val="21"/>
                <w:highlight w:val="none"/>
              </w:rPr>
              <w:t>（52）保持实验室消防通道通畅</w:t>
            </w:r>
            <w:r>
              <w:rPr>
                <w:rFonts w:hint="default" w:ascii="Times New Roman" w:hAnsi="Times New Roman" w:eastAsia="仿宋_GB2312" w:cs="Times New Roman"/>
                <w:color w:val="auto"/>
                <w:szCs w:val="21"/>
                <w:highlight w:val="none"/>
              </w:rPr>
              <w:t>，公共区域不堆放仪器和物品</w:t>
            </w:r>
          </w:p>
        </w:tc>
        <w:tc>
          <w:tcPr>
            <w:tcW w:w="2543" w:type="dxa"/>
            <w:tcMar>
              <w:left w:w="45" w:type="dxa"/>
              <w:right w:w="45" w:type="dxa"/>
            </w:tcMar>
            <w:vAlign w:val="center"/>
          </w:tcPr>
          <w:p w14:paraId="4EE236F7">
            <w:pPr>
              <w:widowControl/>
              <w:spacing w:line="300" w:lineRule="exact"/>
              <w:rPr>
                <w:rFonts w:hint="default" w:ascii="Times New Roman" w:hAnsi="Times New Roman" w:eastAsia="仿宋_GB2312" w:cs="Times New Roman"/>
                <w:bCs/>
                <w:color w:val="auto"/>
                <w:kern w:val="0"/>
                <w:szCs w:val="21"/>
                <w:highlight w:val="none"/>
              </w:rPr>
            </w:pPr>
          </w:p>
        </w:tc>
      </w:tr>
      <w:tr w14:paraId="7B07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88B8B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6.1.4</w:t>
            </w:r>
          </w:p>
        </w:tc>
        <w:tc>
          <w:tcPr>
            <w:tcW w:w="3703" w:type="dxa"/>
            <w:tcMar>
              <w:left w:w="45" w:type="dxa"/>
              <w:right w:w="45" w:type="dxa"/>
            </w:tcMar>
            <w:vAlign w:val="center"/>
          </w:tcPr>
          <w:p w14:paraId="4423BBF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实验室建设和装修应符合消防安全要求</w:t>
            </w:r>
          </w:p>
        </w:tc>
        <w:tc>
          <w:tcPr>
            <w:tcW w:w="7777" w:type="dxa"/>
            <w:tcMar>
              <w:left w:w="45" w:type="dxa"/>
              <w:right w:w="45" w:type="dxa"/>
            </w:tcMar>
            <w:vAlign w:val="center"/>
          </w:tcPr>
          <w:p w14:paraId="29EEF15C">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（53）实验操作台应选用合格的防火、耐腐蚀材料。</w:t>
            </w:r>
          </w:p>
          <w:p w14:paraId="4EAE2F36">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（54）仪器设备安装符合建筑物承重荷载要求。</w:t>
            </w:r>
          </w:p>
          <w:p w14:paraId="0B560DD3">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（55）有可燃气体的实验室不设吊顶。</w:t>
            </w:r>
          </w:p>
          <w:p w14:paraId="7F5D1E02">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（56）不用的配电箱、插座、水管水龙头、网线、气体管路等，应及时拆除或封闭。</w:t>
            </w:r>
          </w:p>
          <w:p w14:paraId="32552212">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szCs w:val="21"/>
                <w:highlight w:val="none"/>
              </w:rPr>
              <w:t>（57）实验室门上有观察窗，外开门不阻挡逃生路径</w:t>
            </w:r>
          </w:p>
        </w:tc>
        <w:tc>
          <w:tcPr>
            <w:tcW w:w="2543" w:type="dxa"/>
            <w:tcMar>
              <w:left w:w="45" w:type="dxa"/>
              <w:right w:w="45" w:type="dxa"/>
            </w:tcMar>
            <w:vAlign w:val="center"/>
          </w:tcPr>
          <w:p w14:paraId="0708E362">
            <w:pPr>
              <w:widowControl/>
              <w:spacing w:line="300" w:lineRule="exact"/>
              <w:rPr>
                <w:rFonts w:hint="default" w:ascii="Times New Roman" w:hAnsi="Times New Roman" w:eastAsia="仿宋_GB2312" w:cs="Times New Roman"/>
                <w:bCs/>
                <w:color w:val="auto"/>
                <w:kern w:val="0"/>
                <w:szCs w:val="21"/>
                <w:highlight w:val="none"/>
              </w:rPr>
            </w:pPr>
          </w:p>
        </w:tc>
      </w:tr>
      <w:tr w14:paraId="499A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458067">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6.1.5</w:t>
            </w:r>
          </w:p>
        </w:tc>
        <w:tc>
          <w:tcPr>
            <w:tcW w:w="3703" w:type="dxa"/>
            <w:tcMar>
              <w:left w:w="45" w:type="dxa"/>
              <w:right w:w="45" w:type="dxa"/>
            </w:tcMar>
            <w:vAlign w:val="center"/>
          </w:tcPr>
          <w:p w14:paraId="575BFB75">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实验室所有房间均须配有应急备用钥匙</w:t>
            </w:r>
          </w:p>
        </w:tc>
        <w:tc>
          <w:tcPr>
            <w:tcW w:w="7777" w:type="dxa"/>
            <w:tcMar>
              <w:left w:w="45" w:type="dxa"/>
              <w:right w:w="45" w:type="dxa"/>
            </w:tcMar>
            <w:vAlign w:val="center"/>
          </w:tcPr>
          <w:p w14:paraId="7ECAA412">
            <w:pPr>
              <w:widowControl/>
              <w:spacing w:line="300" w:lineRule="exact"/>
              <w:rPr>
                <w:rFonts w:hint="default" w:ascii="Times New Roman" w:hAnsi="Times New Roman" w:eastAsia="仿宋_GB2312" w:cs="Times New Roman"/>
                <w:bCs/>
                <w:color w:val="auto"/>
                <w:szCs w:val="21"/>
                <w:highlight w:val="none"/>
              </w:rPr>
            </w:pPr>
            <w:r>
              <w:rPr>
                <w:rFonts w:hint="default" w:ascii="Times New Roman" w:hAnsi="Times New Roman" w:eastAsia="仿宋_GB2312" w:cs="Times New Roman"/>
                <w:color w:val="auto"/>
                <w:szCs w:val="21"/>
                <w:highlight w:val="none"/>
              </w:rPr>
              <w:t>（58）应急备用钥匙须集中存放、统一管理，应急时方便取用</w:t>
            </w:r>
          </w:p>
        </w:tc>
        <w:tc>
          <w:tcPr>
            <w:tcW w:w="2543" w:type="dxa"/>
            <w:tcMar>
              <w:left w:w="45" w:type="dxa"/>
              <w:right w:w="45" w:type="dxa"/>
            </w:tcMar>
            <w:vAlign w:val="center"/>
          </w:tcPr>
          <w:p w14:paraId="3F054E4F">
            <w:pPr>
              <w:widowControl/>
              <w:spacing w:line="300" w:lineRule="exact"/>
              <w:rPr>
                <w:rFonts w:hint="default" w:ascii="Times New Roman" w:hAnsi="Times New Roman" w:eastAsia="仿宋_GB2312" w:cs="Times New Roman"/>
                <w:bCs/>
                <w:color w:val="auto"/>
                <w:szCs w:val="21"/>
                <w:highlight w:val="none"/>
              </w:rPr>
            </w:pPr>
          </w:p>
        </w:tc>
      </w:tr>
      <w:tr w14:paraId="3AC6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BD250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6.1.6</w:t>
            </w:r>
          </w:p>
        </w:tc>
        <w:tc>
          <w:tcPr>
            <w:tcW w:w="3703" w:type="dxa"/>
            <w:tcMar>
              <w:left w:w="45" w:type="dxa"/>
              <w:right w:w="45" w:type="dxa"/>
            </w:tcMar>
            <w:vAlign w:val="center"/>
          </w:tcPr>
          <w:p w14:paraId="3441B1C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实验设备须做好振动减振、电磁屏蔽和降噪</w:t>
            </w:r>
          </w:p>
        </w:tc>
        <w:tc>
          <w:tcPr>
            <w:tcW w:w="7777" w:type="dxa"/>
            <w:tcMar>
              <w:left w:w="45" w:type="dxa"/>
              <w:right w:w="45" w:type="dxa"/>
            </w:tcMar>
            <w:vAlign w:val="center"/>
          </w:tcPr>
          <w:p w14:paraId="574E7A15">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（59）容易产生振动的设备，须考虑采取合理的减振措施。</w:t>
            </w:r>
          </w:p>
          <w:p w14:paraId="78AE6073">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（60）易对外产生磁场或易受磁场干扰的设备，须做好磁屏蔽。</w:t>
            </w:r>
          </w:p>
          <w:p w14:paraId="54B72066">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szCs w:val="21"/>
                <w:highlight w:val="none"/>
              </w:rPr>
              <w:t>（61）实验室噪声一般不高于55分贝（机械设备不高于70分贝）</w:t>
            </w:r>
          </w:p>
        </w:tc>
        <w:tc>
          <w:tcPr>
            <w:tcW w:w="2543" w:type="dxa"/>
            <w:tcMar>
              <w:left w:w="45" w:type="dxa"/>
              <w:right w:w="45" w:type="dxa"/>
            </w:tcMar>
            <w:vAlign w:val="center"/>
          </w:tcPr>
          <w:p w14:paraId="1062D661">
            <w:pPr>
              <w:widowControl/>
              <w:spacing w:line="300" w:lineRule="exact"/>
              <w:rPr>
                <w:rFonts w:hint="default" w:ascii="Times New Roman" w:hAnsi="Times New Roman" w:eastAsia="仿宋_GB2312" w:cs="Times New Roman"/>
                <w:bCs/>
                <w:color w:val="auto"/>
                <w:kern w:val="0"/>
                <w:szCs w:val="21"/>
                <w:highlight w:val="none"/>
              </w:rPr>
            </w:pPr>
          </w:p>
        </w:tc>
      </w:tr>
      <w:tr w14:paraId="4B8E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A12F3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6.1.7</w:t>
            </w:r>
          </w:p>
        </w:tc>
        <w:tc>
          <w:tcPr>
            <w:tcW w:w="3703" w:type="dxa"/>
            <w:tcMar>
              <w:left w:w="45" w:type="dxa"/>
              <w:right w:w="45" w:type="dxa"/>
            </w:tcMar>
            <w:vAlign w:val="center"/>
          </w:tcPr>
          <w:p w14:paraId="089E66CC">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实验室水、电、气管线布局合理，安装施工规范</w:t>
            </w:r>
          </w:p>
        </w:tc>
        <w:tc>
          <w:tcPr>
            <w:tcW w:w="7777" w:type="dxa"/>
            <w:tcMar>
              <w:left w:w="45" w:type="dxa"/>
              <w:right w:w="45" w:type="dxa"/>
            </w:tcMar>
            <w:vAlign w:val="center"/>
          </w:tcPr>
          <w:p w14:paraId="3FDA4A98">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（62）水、电、气管线布局先规划、后施工，充分考虑安全性、功能性、可维护性和扩展性。</w:t>
            </w:r>
          </w:p>
          <w:p w14:paraId="346C82AF">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bCs/>
                <w:color w:val="auto"/>
                <w:szCs w:val="21"/>
                <w:highlight w:val="none"/>
              </w:rPr>
              <w:t>（63）</w:t>
            </w:r>
            <w:r>
              <w:rPr>
                <w:rFonts w:hint="default" w:ascii="Times New Roman" w:hAnsi="Times New Roman" w:eastAsia="仿宋_GB2312" w:cs="Times New Roman"/>
                <w:color w:val="auto"/>
                <w:szCs w:val="21"/>
                <w:highlight w:val="none"/>
              </w:rPr>
              <w:t>高温、明火设备放置位置与气体管道有安全间隔距离。</w:t>
            </w:r>
          </w:p>
          <w:p w14:paraId="41DE48C5">
            <w:pPr>
              <w:spacing w:line="300" w:lineRule="exact"/>
              <w:rPr>
                <w:rFonts w:hint="default" w:ascii="Times New Roman" w:hAnsi="Times New Roman" w:eastAsia="仿宋_GB2312" w:cs="Times New Roman"/>
                <w:bCs/>
                <w:color w:val="auto"/>
                <w:szCs w:val="21"/>
                <w:highlight w:val="none"/>
              </w:rPr>
            </w:pPr>
            <w:r>
              <w:rPr>
                <w:rFonts w:hint="default" w:ascii="Times New Roman" w:hAnsi="Times New Roman" w:eastAsia="仿宋_GB2312" w:cs="Times New Roman"/>
                <w:color w:val="auto"/>
                <w:szCs w:val="21"/>
                <w:highlight w:val="none"/>
              </w:rPr>
              <w:t>（64）</w:t>
            </w:r>
            <w:r>
              <w:rPr>
                <w:rFonts w:hint="default" w:ascii="Times New Roman" w:hAnsi="Times New Roman" w:eastAsia="仿宋_GB2312" w:cs="Times New Roman"/>
                <w:b/>
                <w:bCs/>
                <w:color w:val="auto"/>
                <w:szCs w:val="21"/>
                <w:highlight w:val="none"/>
              </w:rPr>
              <w:t>实验室改造工程应经过审批后实施</w:t>
            </w:r>
          </w:p>
        </w:tc>
        <w:tc>
          <w:tcPr>
            <w:tcW w:w="2543" w:type="dxa"/>
            <w:tcMar>
              <w:left w:w="45" w:type="dxa"/>
              <w:right w:w="45" w:type="dxa"/>
            </w:tcMar>
            <w:vAlign w:val="center"/>
          </w:tcPr>
          <w:p w14:paraId="079A7534">
            <w:pPr>
              <w:widowControl/>
              <w:spacing w:line="300" w:lineRule="exact"/>
              <w:rPr>
                <w:rFonts w:hint="default" w:ascii="Times New Roman" w:hAnsi="Times New Roman" w:eastAsia="仿宋_GB2312" w:cs="Times New Roman"/>
                <w:bCs/>
                <w:color w:val="auto"/>
                <w:szCs w:val="21"/>
                <w:highlight w:val="none"/>
              </w:rPr>
            </w:pPr>
          </w:p>
        </w:tc>
      </w:tr>
      <w:tr w14:paraId="184B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E22219">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6.2</w:t>
            </w:r>
          </w:p>
        </w:tc>
        <w:tc>
          <w:tcPr>
            <w:tcW w:w="14023" w:type="dxa"/>
            <w:gridSpan w:val="3"/>
            <w:tcMar>
              <w:left w:w="45" w:type="dxa"/>
              <w:right w:w="45" w:type="dxa"/>
            </w:tcMar>
            <w:vAlign w:val="center"/>
          </w:tcPr>
          <w:p w14:paraId="0F42FF5D">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卫生与日常管理</w:t>
            </w:r>
          </w:p>
        </w:tc>
      </w:tr>
      <w:tr w14:paraId="22CD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7A2E0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6.2.1</w:t>
            </w:r>
          </w:p>
        </w:tc>
        <w:tc>
          <w:tcPr>
            <w:tcW w:w="3703" w:type="dxa"/>
            <w:tcMar>
              <w:left w:w="45" w:type="dxa"/>
              <w:right w:w="45" w:type="dxa"/>
            </w:tcMar>
            <w:vAlign w:val="center"/>
          </w:tcPr>
          <w:p w14:paraId="5C445BDE">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实验室分区应相对独立，布局合理</w:t>
            </w:r>
          </w:p>
        </w:tc>
        <w:tc>
          <w:tcPr>
            <w:tcW w:w="7777" w:type="dxa"/>
            <w:tcMar>
              <w:left w:w="45" w:type="dxa"/>
              <w:right w:w="45" w:type="dxa"/>
            </w:tcMar>
            <w:vAlign w:val="center"/>
          </w:tcPr>
          <w:p w14:paraId="45853C9F">
            <w:pPr>
              <w:spacing w:line="300" w:lineRule="exact"/>
              <w:rPr>
                <w:rFonts w:hint="default" w:ascii="Times New Roman" w:hAnsi="Times New Roman" w:eastAsia="仿宋_GB2312" w:cs="Times New Roman"/>
                <w:bCs/>
                <w:color w:val="auto"/>
                <w:szCs w:val="21"/>
                <w:highlight w:val="none"/>
              </w:rPr>
            </w:pPr>
            <w:r>
              <w:rPr>
                <w:rFonts w:hint="default" w:ascii="Times New Roman" w:hAnsi="Times New Roman" w:eastAsia="仿宋_GB2312" w:cs="Times New Roman"/>
                <w:color w:val="auto"/>
                <w:szCs w:val="21"/>
                <w:highlight w:val="none"/>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23738BF6">
            <w:pPr>
              <w:spacing w:line="300" w:lineRule="exact"/>
              <w:rPr>
                <w:rFonts w:hint="default" w:ascii="Times New Roman" w:hAnsi="Times New Roman" w:eastAsia="仿宋_GB2312" w:cs="Times New Roman"/>
                <w:bCs/>
                <w:color w:val="auto"/>
                <w:szCs w:val="21"/>
                <w:highlight w:val="none"/>
              </w:rPr>
            </w:pPr>
          </w:p>
        </w:tc>
      </w:tr>
      <w:tr w14:paraId="31F0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8F1000">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6.2.2</w:t>
            </w:r>
          </w:p>
        </w:tc>
        <w:tc>
          <w:tcPr>
            <w:tcW w:w="3703" w:type="dxa"/>
            <w:tcMar>
              <w:left w:w="45" w:type="dxa"/>
              <w:right w:w="45" w:type="dxa"/>
            </w:tcMar>
            <w:vAlign w:val="center"/>
          </w:tcPr>
          <w:p w14:paraId="5865AD49">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bCs/>
                <w:color w:val="auto"/>
                <w:szCs w:val="21"/>
                <w:highlight w:val="none"/>
              </w:rPr>
              <w:t>实验室环境应整洁卫生有序</w:t>
            </w:r>
          </w:p>
        </w:tc>
        <w:tc>
          <w:tcPr>
            <w:tcW w:w="7777" w:type="dxa"/>
            <w:tcMar>
              <w:left w:w="45" w:type="dxa"/>
              <w:right w:w="45" w:type="dxa"/>
            </w:tcMar>
            <w:vAlign w:val="center"/>
          </w:tcPr>
          <w:p w14:paraId="4FB5A8D4">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（66）实验室物品摆放有序，卫生状况良好，实验完毕物品归位，无废弃物品、不放无关物品。</w:t>
            </w:r>
          </w:p>
          <w:p w14:paraId="071AA8A8">
            <w:pPr>
              <w:spacing w:line="300" w:lineRule="exact"/>
              <w:rPr>
                <w:rFonts w:hint="default" w:ascii="Times New Roman" w:hAnsi="Times New Roman" w:eastAsia="仿宋_GB2312" w:cs="Times New Roman"/>
                <w:bCs/>
                <w:color w:val="auto"/>
                <w:szCs w:val="21"/>
                <w:highlight w:val="none"/>
              </w:rPr>
            </w:pPr>
            <w:r>
              <w:rPr>
                <w:rFonts w:hint="default" w:ascii="Times New Roman" w:hAnsi="Times New Roman" w:eastAsia="仿宋_GB2312" w:cs="Times New Roman"/>
                <w:color w:val="auto"/>
                <w:szCs w:val="21"/>
                <w:highlight w:val="none"/>
              </w:rPr>
              <w:t>（67）</w:t>
            </w:r>
            <w:r>
              <w:rPr>
                <w:rFonts w:hint="default" w:ascii="Times New Roman" w:hAnsi="Times New Roman" w:eastAsia="仿宋_GB2312" w:cs="Times New Roman"/>
                <w:color w:val="auto"/>
                <w:kern w:val="0"/>
                <w:szCs w:val="21"/>
                <w:highlight w:val="none"/>
              </w:rPr>
              <w:t>不在实验室睡觉，不存放和烧煮食物、饮食，禁止吸烟，不使用可燃性蚊香</w:t>
            </w:r>
          </w:p>
        </w:tc>
        <w:tc>
          <w:tcPr>
            <w:tcW w:w="2543" w:type="dxa"/>
            <w:tcMar>
              <w:left w:w="45" w:type="dxa"/>
              <w:right w:w="45" w:type="dxa"/>
            </w:tcMar>
            <w:vAlign w:val="center"/>
          </w:tcPr>
          <w:p w14:paraId="24C4EE21">
            <w:pPr>
              <w:spacing w:line="300" w:lineRule="exact"/>
              <w:rPr>
                <w:rFonts w:hint="default" w:ascii="Times New Roman" w:hAnsi="Times New Roman" w:eastAsia="仿宋_GB2312" w:cs="Times New Roman"/>
                <w:bCs/>
                <w:color w:val="auto"/>
                <w:szCs w:val="21"/>
                <w:highlight w:val="none"/>
              </w:rPr>
            </w:pPr>
          </w:p>
        </w:tc>
      </w:tr>
      <w:tr w14:paraId="3295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B61ABE">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6.2.3</w:t>
            </w:r>
          </w:p>
        </w:tc>
        <w:tc>
          <w:tcPr>
            <w:tcW w:w="3703" w:type="dxa"/>
            <w:tcMar>
              <w:left w:w="45" w:type="dxa"/>
              <w:right w:w="45" w:type="dxa"/>
            </w:tcMar>
            <w:vAlign w:val="center"/>
          </w:tcPr>
          <w:p w14:paraId="162CD559">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实验室有卫生安全制度</w:t>
            </w:r>
          </w:p>
        </w:tc>
        <w:tc>
          <w:tcPr>
            <w:tcW w:w="7777" w:type="dxa"/>
            <w:tcMar>
              <w:left w:w="45" w:type="dxa"/>
              <w:right w:w="45" w:type="dxa"/>
            </w:tcMar>
            <w:vAlign w:val="center"/>
          </w:tcPr>
          <w:p w14:paraId="51018781">
            <w:pPr>
              <w:spacing w:line="300" w:lineRule="exact"/>
              <w:rPr>
                <w:rFonts w:hint="default" w:ascii="Times New Roman" w:hAnsi="Times New Roman" w:eastAsia="仿宋_GB2312" w:cs="Times New Roman"/>
                <w:bCs/>
                <w:color w:val="auto"/>
                <w:szCs w:val="21"/>
                <w:highlight w:val="none"/>
              </w:rPr>
            </w:pPr>
            <w:r>
              <w:rPr>
                <w:rFonts w:hint="default" w:ascii="Times New Roman" w:hAnsi="Times New Roman" w:eastAsia="仿宋_GB2312" w:cs="Times New Roman"/>
                <w:color w:val="auto"/>
                <w:kern w:val="0"/>
                <w:szCs w:val="21"/>
                <w:highlight w:val="none"/>
              </w:rPr>
              <w:t>（68）实验期间有记录</w:t>
            </w:r>
          </w:p>
        </w:tc>
        <w:tc>
          <w:tcPr>
            <w:tcW w:w="2543" w:type="dxa"/>
            <w:tcMar>
              <w:left w:w="45" w:type="dxa"/>
              <w:right w:w="45" w:type="dxa"/>
            </w:tcMar>
            <w:vAlign w:val="center"/>
          </w:tcPr>
          <w:p w14:paraId="42B84757">
            <w:pPr>
              <w:spacing w:line="300" w:lineRule="exact"/>
              <w:rPr>
                <w:rFonts w:hint="default" w:ascii="Times New Roman" w:hAnsi="Times New Roman" w:eastAsia="仿宋_GB2312" w:cs="Times New Roman"/>
                <w:bCs/>
                <w:color w:val="auto"/>
                <w:szCs w:val="21"/>
                <w:highlight w:val="none"/>
              </w:rPr>
            </w:pPr>
          </w:p>
        </w:tc>
      </w:tr>
      <w:tr w14:paraId="5ECB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6F074E">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6.3</w:t>
            </w:r>
          </w:p>
        </w:tc>
        <w:tc>
          <w:tcPr>
            <w:tcW w:w="14023" w:type="dxa"/>
            <w:gridSpan w:val="3"/>
            <w:tcMar>
              <w:left w:w="45" w:type="dxa"/>
              <w:right w:w="45" w:type="dxa"/>
            </w:tcMar>
            <w:vAlign w:val="center"/>
          </w:tcPr>
          <w:p w14:paraId="68780104">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场所其他安全</w:t>
            </w:r>
          </w:p>
        </w:tc>
      </w:tr>
      <w:tr w14:paraId="7854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55219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6.3.1</w:t>
            </w:r>
          </w:p>
        </w:tc>
        <w:tc>
          <w:tcPr>
            <w:tcW w:w="3703" w:type="dxa"/>
            <w:tcMar>
              <w:left w:w="45" w:type="dxa"/>
              <w:right w:w="45" w:type="dxa"/>
            </w:tcMar>
            <w:vAlign w:val="center"/>
          </w:tcPr>
          <w:p w14:paraId="49F786EF">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highlight w:val="none"/>
              </w:rPr>
              <w:t>每间实验室均有编号并登记造册</w:t>
            </w:r>
          </w:p>
        </w:tc>
        <w:tc>
          <w:tcPr>
            <w:tcW w:w="7777" w:type="dxa"/>
            <w:tcMar>
              <w:left w:w="45" w:type="dxa"/>
              <w:right w:w="45" w:type="dxa"/>
            </w:tcMar>
            <w:vAlign w:val="center"/>
          </w:tcPr>
          <w:p w14:paraId="3800652D">
            <w:pPr>
              <w:spacing w:line="300" w:lineRule="exact"/>
              <w:rPr>
                <w:rFonts w:hint="default" w:ascii="Times New Roman" w:hAnsi="Times New Roman" w:eastAsia="仿宋_GB2312" w:cs="Times New Roman"/>
                <w:bCs/>
                <w:color w:val="auto"/>
                <w:szCs w:val="21"/>
                <w:highlight w:val="none"/>
              </w:rPr>
            </w:pPr>
            <w:r>
              <w:rPr>
                <w:rFonts w:hint="default" w:ascii="Times New Roman" w:hAnsi="Times New Roman" w:eastAsia="仿宋_GB2312" w:cs="Times New Roman"/>
                <w:bCs/>
                <w:color w:val="auto"/>
                <w:szCs w:val="21"/>
                <w:highlight w:val="none"/>
              </w:rPr>
              <w:t>（69）现场查看门牌，查阅档案</w:t>
            </w:r>
          </w:p>
        </w:tc>
        <w:tc>
          <w:tcPr>
            <w:tcW w:w="2543" w:type="dxa"/>
            <w:tcMar>
              <w:left w:w="45" w:type="dxa"/>
              <w:right w:w="45" w:type="dxa"/>
            </w:tcMar>
            <w:vAlign w:val="center"/>
          </w:tcPr>
          <w:p w14:paraId="02364DD6">
            <w:pPr>
              <w:widowControl/>
              <w:spacing w:line="300" w:lineRule="exact"/>
              <w:rPr>
                <w:rFonts w:hint="default" w:ascii="Times New Roman" w:hAnsi="Times New Roman" w:eastAsia="仿宋_GB2312" w:cs="Times New Roman"/>
                <w:bCs/>
                <w:color w:val="auto"/>
                <w:szCs w:val="21"/>
                <w:highlight w:val="none"/>
              </w:rPr>
            </w:pPr>
          </w:p>
        </w:tc>
      </w:tr>
      <w:tr w14:paraId="0811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A18C8">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6.3.2</w:t>
            </w:r>
          </w:p>
        </w:tc>
        <w:tc>
          <w:tcPr>
            <w:tcW w:w="3703" w:type="dxa"/>
            <w:tcMar>
              <w:left w:w="45" w:type="dxa"/>
              <w:right w:w="45" w:type="dxa"/>
            </w:tcMar>
            <w:vAlign w:val="center"/>
          </w:tcPr>
          <w:p w14:paraId="2975AD1D">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危险性实验室应配备急救物品</w:t>
            </w:r>
          </w:p>
        </w:tc>
        <w:tc>
          <w:tcPr>
            <w:tcW w:w="7777" w:type="dxa"/>
            <w:tcMar>
              <w:left w:w="45" w:type="dxa"/>
              <w:right w:w="45" w:type="dxa"/>
            </w:tcMar>
            <w:vAlign w:val="center"/>
          </w:tcPr>
          <w:p w14:paraId="227F0010">
            <w:pPr>
              <w:spacing w:line="300" w:lineRule="exact"/>
              <w:rPr>
                <w:rFonts w:hint="default" w:ascii="Times New Roman" w:hAnsi="Times New Roman" w:eastAsia="仿宋_GB2312" w:cs="Times New Roman"/>
                <w:bCs/>
                <w:color w:val="auto"/>
                <w:szCs w:val="21"/>
                <w:highlight w:val="none"/>
              </w:rPr>
            </w:pPr>
            <w:r>
              <w:rPr>
                <w:rFonts w:hint="default" w:ascii="Times New Roman" w:hAnsi="Times New Roman" w:eastAsia="仿宋_GB2312" w:cs="Times New Roman"/>
                <w:color w:val="auto"/>
                <w:szCs w:val="21"/>
                <w:highlight w:val="none"/>
              </w:rPr>
              <w:t>（70）配备的急救箱不得上锁，并定期检查物品是否在保质期内</w:t>
            </w:r>
          </w:p>
        </w:tc>
        <w:tc>
          <w:tcPr>
            <w:tcW w:w="2543" w:type="dxa"/>
            <w:tcMar>
              <w:left w:w="45" w:type="dxa"/>
              <w:right w:w="45" w:type="dxa"/>
            </w:tcMar>
            <w:vAlign w:val="center"/>
          </w:tcPr>
          <w:p w14:paraId="7D322712">
            <w:pPr>
              <w:spacing w:line="300" w:lineRule="exact"/>
              <w:rPr>
                <w:rFonts w:hint="default" w:ascii="Times New Roman" w:hAnsi="Times New Roman" w:eastAsia="仿宋_GB2312" w:cs="Times New Roman"/>
                <w:bCs/>
                <w:color w:val="auto"/>
                <w:szCs w:val="21"/>
                <w:highlight w:val="none"/>
              </w:rPr>
            </w:pPr>
          </w:p>
        </w:tc>
      </w:tr>
      <w:tr w14:paraId="39E1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A82602">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6.3.3</w:t>
            </w:r>
          </w:p>
        </w:tc>
        <w:tc>
          <w:tcPr>
            <w:tcW w:w="3703" w:type="dxa"/>
            <w:tcMar>
              <w:left w:w="45" w:type="dxa"/>
              <w:right w:w="45" w:type="dxa"/>
            </w:tcMar>
            <w:vAlign w:val="center"/>
          </w:tcPr>
          <w:p w14:paraId="1AC6EF19">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停用的实验室有安全防范措施和明显标识</w:t>
            </w:r>
          </w:p>
        </w:tc>
        <w:tc>
          <w:tcPr>
            <w:tcW w:w="7777" w:type="dxa"/>
            <w:tcMar>
              <w:left w:w="45" w:type="dxa"/>
              <w:right w:w="45" w:type="dxa"/>
            </w:tcMar>
            <w:vAlign w:val="center"/>
          </w:tcPr>
          <w:p w14:paraId="5CCF59C9">
            <w:pPr>
              <w:spacing w:line="300" w:lineRule="exact"/>
              <w:rPr>
                <w:rFonts w:hint="default" w:ascii="Times New Roman" w:hAnsi="Times New Roman" w:eastAsia="仿宋_GB2312" w:cs="Times New Roman"/>
                <w:bCs/>
                <w:color w:val="auto"/>
                <w:szCs w:val="21"/>
                <w:highlight w:val="none"/>
              </w:rPr>
            </w:pPr>
            <w:r>
              <w:rPr>
                <w:rFonts w:hint="default" w:ascii="Times New Roman" w:hAnsi="Times New Roman" w:eastAsia="仿宋_GB2312" w:cs="Times New Roman"/>
                <w:bCs/>
                <w:color w:val="auto"/>
                <w:szCs w:val="21"/>
                <w:highlight w:val="none"/>
              </w:rPr>
              <w:t>（71）查看现场</w:t>
            </w:r>
          </w:p>
        </w:tc>
        <w:tc>
          <w:tcPr>
            <w:tcW w:w="2543" w:type="dxa"/>
            <w:tcMar>
              <w:left w:w="45" w:type="dxa"/>
              <w:right w:w="45" w:type="dxa"/>
            </w:tcMar>
            <w:vAlign w:val="center"/>
          </w:tcPr>
          <w:p w14:paraId="19B46DB5">
            <w:pPr>
              <w:spacing w:line="300" w:lineRule="exact"/>
              <w:rPr>
                <w:rFonts w:hint="default" w:ascii="Times New Roman" w:hAnsi="Times New Roman" w:eastAsia="仿宋_GB2312" w:cs="Times New Roman"/>
                <w:bCs/>
                <w:color w:val="auto"/>
                <w:szCs w:val="21"/>
                <w:highlight w:val="none"/>
              </w:rPr>
            </w:pPr>
          </w:p>
        </w:tc>
      </w:tr>
      <w:tr w14:paraId="7260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AE625">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7</w:t>
            </w:r>
          </w:p>
        </w:tc>
        <w:tc>
          <w:tcPr>
            <w:tcW w:w="14023" w:type="dxa"/>
            <w:gridSpan w:val="3"/>
            <w:tcMar>
              <w:left w:w="45" w:type="dxa"/>
              <w:right w:w="45" w:type="dxa"/>
            </w:tcMar>
            <w:vAlign w:val="center"/>
          </w:tcPr>
          <w:p w14:paraId="298BC713">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安全设施</w:t>
            </w:r>
          </w:p>
        </w:tc>
      </w:tr>
      <w:tr w14:paraId="60CA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C2ACEB">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7.1</w:t>
            </w:r>
          </w:p>
        </w:tc>
        <w:tc>
          <w:tcPr>
            <w:tcW w:w="14023" w:type="dxa"/>
            <w:gridSpan w:val="3"/>
            <w:tcMar>
              <w:left w:w="45" w:type="dxa"/>
              <w:right w:w="45" w:type="dxa"/>
            </w:tcMar>
            <w:vAlign w:val="center"/>
          </w:tcPr>
          <w:p w14:paraId="46706473">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消防设施</w:t>
            </w:r>
          </w:p>
        </w:tc>
      </w:tr>
      <w:tr w14:paraId="1C6F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1D45C0">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7.1.1</w:t>
            </w:r>
          </w:p>
        </w:tc>
        <w:tc>
          <w:tcPr>
            <w:tcW w:w="3703" w:type="dxa"/>
            <w:tcMar>
              <w:left w:w="45" w:type="dxa"/>
              <w:right w:w="45" w:type="dxa"/>
            </w:tcMar>
            <w:vAlign w:val="center"/>
          </w:tcPr>
          <w:p w14:paraId="0E09BF5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实验室应配备合适的灭火设备，并定期开展使用训练</w:t>
            </w:r>
          </w:p>
        </w:tc>
        <w:tc>
          <w:tcPr>
            <w:tcW w:w="7777" w:type="dxa"/>
            <w:tcMar>
              <w:left w:w="45" w:type="dxa"/>
              <w:right w:w="45" w:type="dxa"/>
            </w:tcMar>
            <w:vAlign w:val="center"/>
          </w:tcPr>
          <w:p w14:paraId="26FEA90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（72）烟感报警器、灭火器、灭火毯、消防砂、消防喷淋等，应正常有效、方便取用。</w:t>
            </w:r>
          </w:p>
          <w:p w14:paraId="12A82AE5">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（73）灭火器种类配置正确，且在有效期内（压力指针位置正常等），保险销正常，瓶身无破损、腐蚀</w:t>
            </w:r>
          </w:p>
        </w:tc>
        <w:tc>
          <w:tcPr>
            <w:tcW w:w="2543" w:type="dxa"/>
            <w:tcMar>
              <w:left w:w="45" w:type="dxa"/>
              <w:right w:w="45" w:type="dxa"/>
            </w:tcMar>
            <w:vAlign w:val="center"/>
          </w:tcPr>
          <w:p w14:paraId="58825E7E">
            <w:pPr>
              <w:widowControl/>
              <w:spacing w:line="300" w:lineRule="exact"/>
              <w:rPr>
                <w:rFonts w:hint="default" w:ascii="Times New Roman" w:hAnsi="Times New Roman" w:eastAsia="仿宋_GB2312" w:cs="Times New Roman"/>
                <w:bCs/>
                <w:color w:val="auto"/>
                <w:kern w:val="0"/>
                <w:szCs w:val="21"/>
                <w:highlight w:val="none"/>
              </w:rPr>
            </w:pPr>
          </w:p>
        </w:tc>
      </w:tr>
      <w:tr w14:paraId="0D71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6D15F">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7.1.2</w:t>
            </w:r>
          </w:p>
        </w:tc>
        <w:tc>
          <w:tcPr>
            <w:tcW w:w="3703" w:type="dxa"/>
            <w:tcMar>
              <w:left w:w="45" w:type="dxa"/>
              <w:right w:w="45" w:type="dxa"/>
            </w:tcMar>
            <w:vAlign w:val="center"/>
          </w:tcPr>
          <w:p w14:paraId="33AAD56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紧急逃生疏散路线通畅</w:t>
            </w:r>
          </w:p>
        </w:tc>
        <w:tc>
          <w:tcPr>
            <w:tcW w:w="7777" w:type="dxa"/>
            <w:tcMar>
              <w:left w:w="45" w:type="dxa"/>
              <w:right w:w="45" w:type="dxa"/>
            </w:tcMar>
            <w:vAlign w:val="center"/>
          </w:tcPr>
          <w:p w14:paraId="3BCA54A5">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（74）在显著位置张贴有紧急逃生疏散路线图，疏散路线图的逃生路线应有二条（含）以上，路线与现场情况符合。</w:t>
            </w:r>
          </w:p>
          <w:p w14:paraId="5C1E118F">
            <w:pPr>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szCs w:val="21"/>
                <w:highlight w:val="none"/>
              </w:rPr>
              <w:t>（75）主要逃生路径（室内、楼梯、通道和出口处）有足够的紧急照明灯，功能正常</w:t>
            </w:r>
            <w:r>
              <w:rPr>
                <w:rFonts w:hint="default" w:ascii="Times New Roman" w:hAnsi="Times New Roman" w:eastAsia="仿宋_GB2312" w:cs="Times New Roman"/>
                <w:color w:val="auto"/>
                <w:kern w:val="0"/>
                <w:highlight w:val="none"/>
              </w:rPr>
              <w:t>，并设置有效标志指示逃生方向。</w:t>
            </w:r>
          </w:p>
          <w:p w14:paraId="08949011">
            <w:pPr>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highlight w:val="none"/>
              </w:rPr>
              <w:t>（76）</w:t>
            </w:r>
            <w:r>
              <w:rPr>
                <w:rFonts w:hint="default" w:ascii="Times New Roman" w:hAnsi="Times New Roman" w:eastAsia="仿宋_GB2312" w:cs="Times New Roman"/>
                <w:color w:val="auto"/>
                <w:kern w:val="0"/>
                <w:szCs w:val="21"/>
                <w:highlight w:val="none"/>
              </w:rPr>
              <w:t>人员应熟悉紧急疏散路线及火场逃生注意事项（现场调查人员熟悉程度）</w:t>
            </w:r>
          </w:p>
        </w:tc>
        <w:tc>
          <w:tcPr>
            <w:tcW w:w="2543" w:type="dxa"/>
            <w:tcMar>
              <w:left w:w="45" w:type="dxa"/>
              <w:right w:w="45" w:type="dxa"/>
            </w:tcMar>
            <w:vAlign w:val="center"/>
          </w:tcPr>
          <w:p w14:paraId="46678BFB">
            <w:pPr>
              <w:widowControl/>
              <w:spacing w:line="300" w:lineRule="exact"/>
              <w:rPr>
                <w:rFonts w:hint="default" w:ascii="Times New Roman" w:hAnsi="Times New Roman" w:eastAsia="仿宋_GB2312" w:cs="Times New Roman"/>
                <w:bCs/>
                <w:color w:val="auto"/>
                <w:kern w:val="0"/>
                <w:szCs w:val="21"/>
                <w:highlight w:val="none"/>
              </w:rPr>
            </w:pPr>
          </w:p>
        </w:tc>
      </w:tr>
      <w:tr w14:paraId="7143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515D5A">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7.2</w:t>
            </w:r>
          </w:p>
        </w:tc>
        <w:tc>
          <w:tcPr>
            <w:tcW w:w="14023" w:type="dxa"/>
            <w:gridSpan w:val="3"/>
            <w:tcMar>
              <w:left w:w="45" w:type="dxa"/>
              <w:right w:w="45" w:type="dxa"/>
            </w:tcMar>
            <w:vAlign w:val="center"/>
          </w:tcPr>
          <w:p w14:paraId="377727ED">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应急喷淋与洗眼装置</w:t>
            </w:r>
          </w:p>
        </w:tc>
      </w:tr>
      <w:tr w14:paraId="4AA1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9C83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7.2.1</w:t>
            </w:r>
          </w:p>
        </w:tc>
        <w:tc>
          <w:tcPr>
            <w:tcW w:w="3703" w:type="dxa"/>
            <w:tcMar>
              <w:left w:w="45" w:type="dxa"/>
              <w:right w:w="45" w:type="dxa"/>
            </w:tcMar>
            <w:vAlign w:val="center"/>
          </w:tcPr>
          <w:p w14:paraId="5771F80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存在燃烧、腐蚀等风险的实验区域，须配置应急喷淋和洗眼装置</w:t>
            </w:r>
          </w:p>
        </w:tc>
        <w:tc>
          <w:tcPr>
            <w:tcW w:w="7777" w:type="dxa"/>
            <w:tcMar>
              <w:left w:w="45" w:type="dxa"/>
              <w:right w:w="45" w:type="dxa"/>
            </w:tcMar>
            <w:vAlign w:val="center"/>
          </w:tcPr>
          <w:p w14:paraId="4A4645BE">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（77）应急喷淋和洗眼装置的区域有显著标志</w:t>
            </w:r>
          </w:p>
        </w:tc>
        <w:tc>
          <w:tcPr>
            <w:tcW w:w="2543" w:type="dxa"/>
            <w:tcMar>
              <w:left w:w="45" w:type="dxa"/>
              <w:right w:w="45" w:type="dxa"/>
            </w:tcMar>
            <w:vAlign w:val="center"/>
          </w:tcPr>
          <w:p w14:paraId="04EE7241">
            <w:pPr>
              <w:spacing w:line="300" w:lineRule="exact"/>
              <w:rPr>
                <w:rFonts w:hint="default" w:ascii="Times New Roman" w:hAnsi="Times New Roman" w:eastAsia="仿宋_GB2312" w:cs="Times New Roman"/>
                <w:bCs/>
                <w:color w:val="auto"/>
                <w:kern w:val="0"/>
                <w:highlight w:val="none"/>
              </w:rPr>
            </w:pPr>
          </w:p>
        </w:tc>
      </w:tr>
      <w:tr w14:paraId="6CBB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6D896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7.2.2</w:t>
            </w:r>
          </w:p>
        </w:tc>
        <w:tc>
          <w:tcPr>
            <w:tcW w:w="3703" w:type="dxa"/>
            <w:tcMar>
              <w:left w:w="45" w:type="dxa"/>
              <w:right w:w="45" w:type="dxa"/>
            </w:tcMar>
            <w:vAlign w:val="center"/>
          </w:tcPr>
          <w:p w14:paraId="513CFDD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应急喷淋与洗眼装置安装合理，并能正常使用</w:t>
            </w:r>
          </w:p>
        </w:tc>
        <w:tc>
          <w:tcPr>
            <w:tcW w:w="7777" w:type="dxa"/>
            <w:tcMar>
              <w:left w:w="45" w:type="dxa"/>
              <w:right w:w="45" w:type="dxa"/>
            </w:tcMar>
            <w:vAlign w:val="center"/>
          </w:tcPr>
          <w:p w14:paraId="2BE347F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（78）应急喷淋安装地点与工作区域之间畅通，距离不超过30m。应急喷淋安装位置合适，拉杆位置合适、方向正确。应急喷淋装置水管总阀为常开状态，喷淋头下方410mm范围内无障碍物。</w:t>
            </w:r>
          </w:p>
          <w:p w14:paraId="494CE2A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（79）不能以普通淋浴装置代替应急喷淋装置。</w:t>
            </w:r>
          </w:p>
          <w:p w14:paraId="259F767C">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（80）洗眼装置接入生活用水管道，应至少以1.5L/min的流量供水，水压适中，</w:t>
            </w:r>
            <w:r>
              <w:rPr>
                <w:rFonts w:hint="default" w:ascii="Times New Roman" w:hAnsi="Times New Roman" w:eastAsia="仿宋_GB2312" w:cs="Times New Roman"/>
                <w:bCs/>
                <w:color w:val="auto"/>
                <w:kern w:val="0"/>
                <w:szCs w:val="21"/>
                <w:highlight w:val="none"/>
              </w:rPr>
              <w:t>水流畅通平稳</w:t>
            </w:r>
          </w:p>
        </w:tc>
        <w:tc>
          <w:tcPr>
            <w:tcW w:w="2543" w:type="dxa"/>
            <w:tcMar>
              <w:left w:w="45" w:type="dxa"/>
              <w:right w:w="45" w:type="dxa"/>
            </w:tcMar>
            <w:vAlign w:val="center"/>
          </w:tcPr>
          <w:p w14:paraId="719142C5">
            <w:pPr>
              <w:widowControl/>
              <w:spacing w:line="300" w:lineRule="exact"/>
              <w:rPr>
                <w:rFonts w:hint="default" w:ascii="Times New Roman" w:hAnsi="Times New Roman" w:eastAsia="仿宋_GB2312" w:cs="Times New Roman"/>
                <w:bCs/>
                <w:color w:val="auto"/>
                <w:kern w:val="0"/>
                <w:szCs w:val="21"/>
                <w:highlight w:val="none"/>
              </w:rPr>
            </w:pPr>
          </w:p>
        </w:tc>
      </w:tr>
      <w:tr w14:paraId="37AD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E8AAF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7.2.3</w:t>
            </w:r>
          </w:p>
        </w:tc>
        <w:tc>
          <w:tcPr>
            <w:tcW w:w="3703" w:type="dxa"/>
            <w:tcMar>
              <w:left w:w="45" w:type="dxa"/>
              <w:right w:w="45" w:type="dxa"/>
            </w:tcMar>
            <w:vAlign w:val="center"/>
          </w:tcPr>
          <w:p w14:paraId="57F2A89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定期对应急喷淋与洗眼装置进行维护</w:t>
            </w:r>
          </w:p>
        </w:tc>
        <w:tc>
          <w:tcPr>
            <w:tcW w:w="7777" w:type="dxa"/>
            <w:tcMar>
              <w:left w:w="45" w:type="dxa"/>
              <w:right w:w="45" w:type="dxa"/>
            </w:tcMar>
            <w:vAlign w:val="center"/>
          </w:tcPr>
          <w:p w14:paraId="133B200C">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（81）经常对应急喷淋与洗眼装置进行维护，无锈水、脏水，有检查记录</w:t>
            </w:r>
          </w:p>
        </w:tc>
        <w:tc>
          <w:tcPr>
            <w:tcW w:w="2543" w:type="dxa"/>
            <w:tcMar>
              <w:left w:w="45" w:type="dxa"/>
              <w:right w:w="45" w:type="dxa"/>
            </w:tcMar>
            <w:vAlign w:val="center"/>
          </w:tcPr>
          <w:p w14:paraId="5E4928C0">
            <w:pPr>
              <w:widowControl/>
              <w:spacing w:line="300" w:lineRule="exact"/>
              <w:rPr>
                <w:rFonts w:hint="default" w:ascii="Times New Roman" w:hAnsi="Times New Roman" w:eastAsia="仿宋_GB2312" w:cs="Times New Roman"/>
                <w:bCs/>
                <w:color w:val="auto"/>
                <w:kern w:val="0"/>
                <w:szCs w:val="21"/>
                <w:highlight w:val="none"/>
              </w:rPr>
            </w:pPr>
          </w:p>
        </w:tc>
      </w:tr>
      <w:tr w14:paraId="105A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24C2E4">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7.3</w:t>
            </w:r>
          </w:p>
        </w:tc>
        <w:tc>
          <w:tcPr>
            <w:tcW w:w="14023" w:type="dxa"/>
            <w:gridSpan w:val="3"/>
            <w:tcMar>
              <w:left w:w="45" w:type="dxa"/>
              <w:right w:w="45" w:type="dxa"/>
            </w:tcMar>
            <w:vAlign w:val="center"/>
          </w:tcPr>
          <w:p w14:paraId="1C5552E9">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通风系统</w:t>
            </w:r>
          </w:p>
        </w:tc>
      </w:tr>
      <w:tr w14:paraId="0D36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6CAFF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7.3.1</w:t>
            </w:r>
          </w:p>
        </w:tc>
        <w:tc>
          <w:tcPr>
            <w:tcW w:w="3703" w:type="dxa"/>
            <w:tcMar>
              <w:left w:w="45" w:type="dxa"/>
              <w:right w:w="45" w:type="dxa"/>
            </w:tcMar>
            <w:vAlign w:val="center"/>
          </w:tcPr>
          <w:p w14:paraId="13A8568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有需要的实验场所配备符合设计规范的通风系统</w:t>
            </w:r>
          </w:p>
        </w:tc>
        <w:tc>
          <w:tcPr>
            <w:tcW w:w="7777" w:type="dxa"/>
            <w:tcMar>
              <w:left w:w="45" w:type="dxa"/>
              <w:right w:w="45" w:type="dxa"/>
            </w:tcMar>
            <w:vAlign w:val="center"/>
          </w:tcPr>
          <w:p w14:paraId="3C0C35CF">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（82）管道和风机须防腐，使用可燃气体的场所宜采用防爆风机。</w:t>
            </w:r>
          </w:p>
          <w:p w14:paraId="3B792BF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bCs/>
                <w:color w:val="auto"/>
                <w:kern w:val="0"/>
                <w:szCs w:val="21"/>
                <w:highlight w:val="none"/>
              </w:rPr>
              <w:t>（83）</w:t>
            </w:r>
            <w:r>
              <w:rPr>
                <w:rFonts w:hint="default" w:ascii="Times New Roman" w:hAnsi="Times New Roman" w:eastAsia="仿宋_GB2312" w:cs="Times New Roman"/>
                <w:b/>
                <w:bCs/>
                <w:color w:val="auto"/>
                <w:kern w:val="0"/>
                <w:szCs w:val="21"/>
                <w:highlight w:val="none"/>
              </w:rPr>
              <w:t>实验室通风系统运行正常，</w:t>
            </w:r>
            <w:r>
              <w:rPr>
                <w:rFonts w:hint="default" w:ascii="Times New Roman" w:hAnsi="Times New Roman" w:eastAsia="仿宋_GB2312" w:cs="Times New Roman"/>
                <w:b/>
                <w:bCs/>
                <w:color w:val="auto"/>
                <w:szCs w:val="21"/>
                <w:highlight w:val="none"/>
              </w:rPr>
              <w:t>柜口面</w:t>
            </w:r>
            <w:r>
              <w:rPr>
                <w:rFonts w:hint="default" w:ascii="Times New Roman" w:hAnsi="Times New Roman" w:eastAsia="仿宋_GB2312" w:cs="Times New Roman"/>
                <w:b/>
                <w:bCs/>
                <w:color w:val="auto"/>
                <w:kern w:val="0"/>
                <w:szCs w:val="21"/>
                <w:highlight w:val="none"/>
              </w:rPr>
              <w:t>风速0.35~0.75m/s，定期进行维护、检修</w:t>
            </w:r>
            <w:r>
              <w:rPr>
                <w:rFonts w:hint="default" w:ascii="Times New Roman" w:hAnsi="Times New Roman" w:eastAsia="仿宋_GB2312" w:cs="Times New Roman"/>
                <w:color w:val="auto"/>
                <w:kern w:val="0"/>
                <w:szCs w:val="21"/>
                <w:highlight w:val="none"/>
              </w:rPr>
              <w:t>。</w:t>
            </w:r>
          </w:p>
          <w:p w14:paraId="3297FCBE">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（84）屋顶风机固定无松动、无异常噪声</w:t>
            </w:r>
          </w:p>
        </w:tc>
        <w:tc>
          <w:tcPr>
            <w:tcW w:w="2543" w:type="dxa"/>
            <w:tcMar>
              <w:left w:w="45" w:type="dxa"/>
              <w:right w:w="45" w:type="dxa"/>
            </w:tcMar>
            <w:vAlign w:val="center"/>
          </w:tcPr>
          <w:p w14:paraId="0BC7DB58">
            <w:pPr>
              <w:spacing w:line="300" w:lineRule="exact"/>
              <w:rPr>
                <w:rFonts w:hint="default" w:ascii="Times New Roman" w:hAnsi="Times New Roman" w:eastAsia="仿宋_GB2312" w:cs="Times New Roman"/>
                <w:bCs/>
                <w:color w:val="auto"/>
                <w:kern w:val="0"/>
                <w:szCs w:val="21"/>
                <w:highlight w:val="none"/>
              </w:rPr>
            </w:pPr>
          </w:p>
        </w:tc>
      </w:tr>
      <w:tr w14:paraId="4630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41408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7.3.2</w:t>
            </w:r>
          </w:p>
        </w:tc>
        <w:tc>
          <w:tcPr>
            <w:tcW w:w="3703" w:type="dxa"/>
            <w:tcMar>
              <w:left w:w="45" w:type="dxa"/>
              <w:right w:w="45" w:type="dxa"/>
            </w:tcMar>
            <w:vAlign w:val="center"/>
          </w:tcPr>
          <w:p w14:paraId="2855846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通风柜配置合理、使用正常、操作合规</w:t>
            </w:r>
          </w:p>
        </w:tc>
        <w:tc>
          <w:tcPr>
            <w:tcW w:w="7777" w:type="dxa"/>
            <w:tcMar>
              <w:left w:w="45" w:type="dxa"/>
              <w:right w:w="45" w:type="dxa"/>
            </w:tcMar>
            <w:vAlign w:val="center"/>
          </w:tcPr>
          <w:p w14:paraId="73C4A1D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（85）实验室排出的有害物质浓度超过国家现行标准规定的允许排放标准时，须采取净化措施，做到达标排放。</w:t>
            </w:r>
          </w:p>
          <w:p w14:paraId="59822AD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（86）任何可能产生有毒有害气体而导致个人曝露，或产生可燃、可爆炸气体或蒸气而导致积聚的实验，都须在通风柜内进行。</w:t>
            </w:r>
          </w:p>
          <w:p w14:paraId="71B37E75">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（87）进行实验时，通风柜可调玻璃视窗开至离台面10</w:t>
            </w:r>
            <w:r>
              <w:rPr>
                <w:rFonts w:hint="default" w:ascii="Times New Roman" w:hAnsi="Times New Roman" w:eastAsia="仿宋_GB2312" w:cs="Times New Roman"/>
                <w:color w:val="auto"/>
                <w:highlight w:val="none"/>
              </w:rPr>
              <w:t xml:space="preserve"> </w:t>
            </w:r>
            <w:r>
              <w:rPr>
                <w:rFonts w:hint="default" w:ascii="Times New Roman" w:hAnsi="Times New Roman" w:eastAsia="仿宋_GB2312" w:cs="Times New Roman"/>
                <w:color w:val="auto"/>
                <w:kern w:val="0"/>
                <w:szCs w:val="21"/>
                <w:highlight w:val="none"/>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highlight w:val="none"/>
              </w:rPr>
              <w:t>玻璃视窗材料应是钢化玻璃</w:t>
            </w:r>
          </w:p>
        </w:tc>
        <w:tc>
          <w:tcPr>
            <w:tcW w:w="2543" w:type="dxa"/>
            <w:tcMar>
              <w:left w:w="45" w:type="dxa"/>
              <w:right w:w="45" w:type="dxa"/>
            </w:tcMar>
            <w:vAlign w:val="center"/>
          </w:tcPr>
          <w:p w14:paraId="0E07395B">
            <w:pPr>
              <w:widowControl/>
              <w:spacing w:line="300" w:lineRule="exact"/>
              <w:rPr>
                <w:rFonts w:hint="default" w:ascii="Times New Roman" w:hAnsi="Times New Roman" w:eastAsia="仿宋_GB2312" w:cs="Times New Roman"/>
                <w:bCs/>
                <w:color w:val="auto"/>
                <w:kern w:val="0"/>
                <w:szCs w:val="21"/>
                <w:highlight w:val="none"/>
              </w:rPr>
            </w:pPr>
          </w:p>
        </w:tc>
      </w:tr>
      <w:tr w14:paraId="539F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59D6E4">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7.4</w:t>
            </w:r>
          </w:p>
        </w:tc>
        <w:tc>
          <w:tcPr>
            <w:tcW w:w="14023" w:type="dxa"/>
            <w:gridSpan w:val="3"/>
            <w:tcMar>
              <w:left w:w="45" w:type="dxa"/>
              <w:right w:w="45" w:type="dxa"/>
            </w:tcMar>
            <w:vAlign w:val="center"/>
          </w:tcPr>
          <w:p w14:paraId="5D95B720">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门禁监控</w:t>
            </w:r>
          </w:p>
        </w:tc>
      </w:tr>
      <w:tr w14:paraId="59F9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5BF0F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7.4.1</w:t>
            </w:r>
          </w:p>
        </w:tc>
        <w:tc>
          <w:tcPr>
            <w:tcW w:w="3703" w:type="dxa"/>
            <w:tcMar>
              <w:left w:w="45" w:type="dxa"/>
              <w:right w:w="45" w:type="dxa"/>
            </w:tcMar>
            <w:vAlign w:val="center"/>
          </w:tcPr>
          <w:p w14:paraId="253861B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重点场所须安装门禁和监控设施，并有专人管理</w:t>
            </w:r>
          </w:p>
        </w:tc>
        <w:tc>
          <w:tcPr>
            <w:tcW w:w="7777" w:type="dxa"/>
            <w:tcMar>
              <w:left w:w="45" w:type="dxa"/>
              <w:right w:w="45" w:type="dxa"/>
            </w:tcMar>
            <w:vAlign w:val="center"/>
          </w:tcPr>
          <w:p w14:paraId="7F097A79">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szCs w:val="21"/>
                <w:highlight w:val="none"/>
              </w:rPr>
              <w:t>（88）关注重点场所，如有剧毒品、病原微生物、放射源、核材料等危险源的地点</w:t>
            </w:r>
          </w:p>
        </w:tc>
        <w:tc>
          <w:tcPr>
            <w:tcW w:w="2543" w:type="dxa"/>
            <w:tcMar>
              <w:left w:w="45" w:type="dxa"/>
              <w:right w:w="45" w:type="dxa"/>
            </w:tcMar>
            <w:vAlign w:val="center"/>
          </w:tcPr>
          <w:p w14:paraId="29AC81B9">
            <w:pPr>
              <w:widowControl/>
              <w:spacing w:line="300" w:lineRule="exact"/>
              <w:rPr>
                <w:rFonts w:hint="default" w:ascii="Times New Roman" w:hAnsi="Times New Roman" w:eastAsia="仿宋_GB2312" w:cs="Times New Roman"/>
                <w:bCs/>
                <w:color w:val="auto"/>
                <w:kern w:val="0"/>
                <w:szCs w:val="21"/>
                <w:highlight w:val="none"/>
              </w:rPr>
            </w:pPr>
          </w:p>
        </w:tc>
      </w:tr>
      <w:tr w14:paraId="3483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5DE44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7.4.2</w:t>
            </w:r>
          </w:p>
        </w:tc>
        <w:tc>
          <w:tcPr>
            <w:tcW w:w="3703" w:type="dxa"/>
            <w:tcMar>
              <w:left w:w="45" w:type="dxa"/>
              <w:right w:w="45" w:type="dxa"/>
            </w:tcMar>
            <w:vAlign w:val="center"/>
          </w:tcPr>
          <w:p w14:paraId="600B3D1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门禁和监控系统运转正常，与实验室准入制度相匹配</w:t>
            </w:r>
          </w:p>
        </w:tc>
        <w:tc>
          <w:tcPr>
            <w:tcW w:w="7777" w:type="dxa"/>
            <w:tcMar>
              <w:left w:w="45" w:type="dxa"/>
              <w:right w:w="45" w:type="dxa"/>
            </w:tcMar>
            <w:vAlign w:val="center"/>
          </w:tcPr>
          <w:p w14:paraId="2A33E8F6">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（89）监控不留死角，图像清晰，人员出入记录可查，视频记录存储时间不少于30天。</w:t>
            </w:r>
          </w:p>
          <w:p w14:paraId="247CE908">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szCs w:val="21"/>
                <w:highlight w:val="none"/>
              </w:rPr>
              <w:t>（90）停电时，电子门禁系统应是开启状态或者有备用机械钥匙</w:t>
            </w:r>
          </w:p>
        </w:tc>
        <w:tc>
          <w:tcPr>
            <w:tcW w:w="2543" w:type="dxa"/>
            <w:tcMar>
              <w:left w:w="45" w:type="dxa"/>
              <w:right w:w="45" w:type="dxa"/>
            </w:tcMar>
            <w:vAlign w:val="center"/>
          </w:tcPr>
          <w:p w14:paraId="67048C34">
            <w:pPr>
              <w:widowControl/>
              <w:spacing w:line="300" w:lineRule="exact"/>
              <w:rPr>
                <w:rFonts w:hint="default" w:ascii="Times New Roman" w:hAnsi="Times New Roman" w:eastAsia="仿宋_GB2312" w:cs="Times New Roman"/>
                <w:bCs/>
                <w:color w:val="auto"/>
                <w:kern w:val="0"/>
                <w:szCs w:val="21"/>
                <w:highlight w:val="none"/>
              </w:rPr>
            </w:pPr>
          </w:p>
        </w:tc>
      </w:tr>
      <w:tr w14:paraId="2547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71E39E">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7.5</w:t>
            </w:r>
          </w:p>
        </w:tc>
        <w:tc>
          <w:tcPr>
            <w:tcW w:w="14023" w:type="dxa"/>
            <w:gridSpan w:val="3"/>
            <w:tcMar>
              <w:left w:w="45" w:type="dxa"/>
              <w:right w:w="45" w:type="dxa"/>
            </w:tcMar>
            <w:vAlign w:val="center"/>
          </w:tcPr>
          <w:p w14:paraId="0435F6C0">
            <w:pPr>
              <w:widowControl/>
              <w:spacing w:line="300" w:lineRule="exact"/>
              <w:rPr>
                <w:rFonts w:hint="default" w:ascii="Times New Roman" w:hAnsi="Times New Roman" w:eastAsia="仿宋_GB2312" w:cs="Times New Roman"/>
                <w:b/>
                <w:color w:val="auto"/>
                <w:szCs w:val="21"/>
                <w:highlight w:val="none"/>
              </w:rPr>
            </w:pPr>
            <w:r>
              <w:rPr>
                <w:rFonts w:hint="default" w:ascii="Times New Roman" w:hAnsi="Times New Roman" w:eastAsia="仿宋_GB2312" w:cs="Times New Roman"/>
                <w:b/>
                <w:color w:val="auto"/>
                <w:szCs w:val="21"/>
                <w:highlight w:val="none"/>
              </w:rPr>
              <w:t>实验室防爆</w:t>
            </w:r>
          </w:p>
        </w:tc>
      </w:tr>
      <w:tr w14:paraId="6471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EDD6B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7.5.1</w:t>
            </w:r>
          </w:p>
        </w:tc>
        <w:tc>
          <w:tcPr>
            <w:tcW w:w="3703" w:type="dxa"/>
            <w:tcMar>
              <w:left w:w="45" w:type="dxa"/>
              <w:right w:w="45" w:type="dxa"/>
            </w:tcMar>
            <w:vAlign w:val="center"/>
          </w:tcPr>
          <w:p w14:paraId="38528684">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有防爆需求的实验室须符合防爆设计要求</w:t>
            </w:r>
          </w:p>
        </w:tc>
        <w:tc>
          <w:tcPr>
            <w:tcW w:w="7777" w:type="dxa"/>
            <w:tcMar>
              <w:left w:w="45" w:type="dxa"/>
              <w:right w:w="45" w:type="dxa"/>
            </w:tcMar>
            <w:vAlign w:val="center"/>
          </w:tcPr>
          <w:p w14:paraId="50FF4899">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（91）有防爆需求的实验室，应选用防爆型的电气设备。防爆灯、防爆电气开关、除尘装置、导线敷设等应达到整体防爆要求；安装必要的气体报警系统、监控系统、应急系统等。</w:t>
            </w:r>
          </w:p>
          <w:p w14:paraId="6C90FCD5">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（92）可燃气体管道，应科学选用和安装阻火器。</w:t>
            </w:r>
          </w:p>
          <w:p w14:paraId="11405CC3">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szCs w:val="21"/>
                <w:highlight w:val="none"/>
              </w:rPr>
              <w:t>（93）采取有效措施，避免或减少出现危险爆炸性环境，避免出现任何潜在的有效点燃源</w:t>
            </w:r>
          </w:p>
        </w:tc>
        <w:tc>
          <w:tcPr>
            <w:tcW w:w="2543" w:type="dxa"/>
            <w:tcMar>
              <w:left w:w="45" w:type="dxa"/>
              <w:right w:w="45" w:type="dxa"/>
            </w:tcMar>
            <w:vAlign w:val="center"/>
          </w:tcPr>
          <w:p w14:paraId="6D334F2C">
            <w:pPr>
              <w:widowControl/>
              <w:spacing w:line="300" w:lineRule="exact"/>
              <w:rPr>
                <w:rFonts w:hint="default" w:ascii="Times New Roman" w:hAnsi="Times New Roman" w:eastAsia="仿宋_GB2312" w:cs="Times New Roman"/>
                <w:color w:val="auto"/>
                <w:szCs w:val="21"/>
                <w:highlight w:val="none"/>
              </w:rPr>
            </w:pPr>
          </w:p>
        </w:tc>
      </w:tr>
      <w:tr w14:paraId="53C9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393AC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7.5.2</w:t>
            </w:r>
          </w:p>
        </w:tc>
        <w:tc>
          <w:tcPr>
            <w:tcW w:w="3703" w:type="dxa"/>
            <w:tcMar>
              <w:left w:w="45" w:type="dxa"/>
              <w:right w:w="45" w:type="dxa"/>
            </w:tcMar>
            <w:vAlign w:val="center"/>
          </w:tcPr>
          <w:p w14:paraId="19920473">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应妥善防护具有爆炸危险性的仪器设备</w:t>
            </w:r>
          </w:p>
        </w:tc>
        <w:tc>
          <w:tcPr>
            <w:tcW w:w="7777" w:type="dxa"/>
            <w:tcMar>
              <w:left w:w="45" w:type="dxa"/>
              <w:right w:w="45" w:type="dxa"/>
            </w:tcMar>
            <w:vAlign w:val="center"/>
          </w:tcPr>
          <w:p w14:paraId="11C15CD0">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szCs w:val="21"/>
                <w:highlight w:val="none"/>
              </w:rPr>
              <w:t>（94）使用适合的安全罩防护</w:t>
            </w:r>
          </w:p>
        </w:tc>
        <w:tc>
          <w:tcPr>
            <w:tcW w:w="2543" w:type="dxa"/>
            <w:tcMar>
              <w:left w:w="45" w:type="dxa"/>
              <w:right w:w="45" w:type="dxa"/>
            </w:tcMar>
            <w:vAlign w:val="center"/>
          </w:tcPr>
          <w:p w14:paraId="42125168">
            <w:pPr>
              <w:widowControl/>
              <w:spacing w:line="300" w:lineRule="exact"/>
              <w:rPr>
                <w:rFonts w:hint="default" w:ascii="Times New Roman" w:hAnsi="Times New Roman" w:eastAsia="仿宋_GB2312" w:cs="Times New Roman"/>
                <w:color w:val="auto"/>
                <w:szCs w:val="21"/>
                <w:highlight w:val="none"/>
              </w:rPr>
            </w:pPr>
          </w:p>
        </w:tc>
      </w:tr>
      <w:tr w14:paraId="771C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6F0270">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8</w:t>
            </w:r>
          </w:p>
        </w:tc>
        <w:tc>
          <w:tcPr>
            <w:tcW w:w="14023" w:type="dxa"/>
            <w:gridSpan w:val="3"/>
            <w:tcMar>
              <w:left w:w="45" w:type="dxa"/>
              <w:right w:w="45" w:type="dxa"/>
            </w:tcMar>
            <w:vAlign w:val="center"/>
          </w:tcPr>
          <w:p w14:paraId="54BD2408">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基础安全</w:t>
            </w:r>
          </w:p>
        </w:tc>
      </w:tr>
      <w:tr w14:paraId="75CF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26FC50">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8.1</w:t>
            </w:r>
          </w:p>
        </w:tc>
        <w:tc>
          <w:tcPr>
            <w:tcW w:w="14023" w:type="dxa"/>
            <w:gridSpan w:val="3"/>
            <w:tcMar>
              <w:left w:w="45" w:type="dxa"/>
              <w:right w:w="45" w:type="dxa"/>
            </w:tcMar>
            <w:vAlign w:val="center"/>
          </w:tcPr>
          <w:p w14:paraId="4EAA496D">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用电、用水基础安全</w:t>
            </w:r>
          </w:p>
        </w:tc>
      </w:tr>
      <w:tr w14:paraId="5F5F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751C6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8.1.1</w:t>
            </w:r>
          </w:p>
        </w:tc>
        <w:tc>
          <w:tcPr>
            <w:tcW w:w="3703" w:type="dxa"/>
            <w:tcMar>
              <w:left w:w="45" w:type="dxa"/>
              <w:right w:w="45" w:type="dxa"/>
            </w:tcMar>
            <w:vAlign w:val="center"/>
          </w:tcPr>
          <w:p w14:paraId="73D01D3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实验室用电安全应符合国家标准（导则）和行业标准</w:t>
            </w:r>
          </w:p>
        </w:tc>
        <w:tc>
          <w:tcPr>
            <w:tcW w:w="7777" w:type="dxa"/>
            <w:tcMar>
              <w:left w:w="45" w:type="dxa"/>
              <w:right w:w="45" w:type="dxa"/>
            </w:tcMar>
            <w:vAlign w:val="center"/>
          </w:tcPr>
          <w:p w14:paraId="11FED4B4">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（95）实验室配电容量、插头插座与用电设备功率须匹配，不得私自改装。</w:t>
            </w:r>
          </w:p>
          <w:p w14:paraId="7832B68F">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（96）电源插座须有效固定。</w:t>
            </w:r>
          </w:p>
          <w:p w14:paraId="4C927C7E">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（97）电气设备应配备空气开关和漏电保护器。</w:t>
            </w:r>
          </w:p>
          <w:p w14:paraId="2ABEC105">
            <w:pPr>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szCs w:val="21"/>
                <w:highlight w:val="none"/>
              </w:rPr>
              <w:t>（98）不私自乱拉、乱接电线、电缆，禁止多个接线板串接供电，接线板不宜直接置于地面。</w:t>
            </w:r>
          </w:p>
          <w:p w14:paraId="72FFAF16">
            <w:pPr>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（99）禁止使用老化的线缆、花线、木质配电板、有破损的接线板，电线接头绝缘可靠，无裸露连接线，穿越通道的线缆应有盖板或护套，不使用老国标接线板、插座。</w:t>
            </w:r>
          </w:p>
          <w:p w14:paraId="55ECC9C4">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（100）大功率仪器（包括空调等）使用专用插座。</w:t>
            </w:r>
          </w:p>
          <w:p w14:paraId="780537E5">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（101）电器长期不用时，应切断电源。</w:t>
            </w:r>
          </w:p>
          <w:p w14:paraId="7B3E4845">
            <w:pPr>
              <w:rPr>
                <w:rFonts w:hint="default" w:ascii="Times New Roman" w:hAnsi="Times New Roman" w:eastAsia="仿宋_GB2312" w:cs="Times New Roman"/>
                <w:bCs/>
                <w:color w:val="auto"/>
                <w:kern w:val="0"/>
                <w:szCs w:val="21"/>
                <w:highlight w:val="none"/>
              </w:rPr>
            </w:pPr>
            <w:bookmarkStart w:id="0" w:name="OLE_LINK1"/>
            <w:r>
              <w:rPr>
                <w:rFonts w:hint="default" w:ascii="Times New Roman" w:hAnsi="Times New Roman" w:eastAsia="仿宋_GB2312" w:cs="Times New Roman"/>
                <w:color w:val="auto"/>
                <w:kern w:val="0"/>
                <w:szCs w:val="21"/>
                <w:highlight w:val="none"/>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1F67777A">
            <w:pPr>
              <w:widowControl/>
              <w:spacing w:line="300" w:lineRule="exact"/>
              <w:rPr>
                <w:rFonts w:hint="default" w:ascii="Times New Roman" w:hAnsi="Times New Roman" w:eastAsia="仿宋_GB2312" w:cs="Times New Roman"/>
                <w:bCs/>
                <w:color w:val="auto"/>
                <w:kern w:val="0"/>
                <w:szCs w:val="21"/>
                <w:highlight w:val="none"/>
              </w:rPr>
            </w:pPr>
          </w:p>
        </w:tc>
      </w:tr>
      <w:tr w14:paraId="00D3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F0464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8.1.2</w:t>
            </w:r>
          </w:p>
        </w:tc>
        <w:tc>
          <w:tcPr>
            <w:tcW w:w="3703" w:type="dxa"/>
            <w:tcMar>
              <w:left w:w="45" w:type="dxa"/>
              <w:right w:w="45" w:type="dxa"/>
            </w:tcMar>
            <w:vAlign w:val="center"/>
          </w:tcPr>
          <w:p w14:paraId="07C574C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给水、排水系统布置合理，运行正常</w:t>
            </w:r>
          </w:p>
        </w:tc>
        <w:tc>
          <w:tcPr>
            <w:tcW w:w="7777" w:type="dxa"/>
            <w:tcMar>
              <w:left w:w="45" w:type="dxa"/>
              <w:right w:w="45" w:type="dxa"/>
            </w:tcMar>
            <w:vAlign w:val="center"/>
          </w:tcPr>
          <w:p w14:paraId="3D1CCAD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（103）水槽、地漏及下水道畅通，水龙头、上下水管无破损。</w:t>
            </w:r>
          </w:p>
          <w:p w14:paraId="149F1CF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（104）各类连接管无老化破损（特别是冷却冷凝系统的橡胶管接口处）。</w:t>
            </w:r>
          </w:p>
          <w:p w14:paraId="3727B8D4">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（105）各楼层及实验室的各级水管总阀须有明显的标识</w:t>
            </w:r>
          </w:p>
        </w:tc>
        <w:tc>
          <w:tcPr>
            <w:tcW w:w="2543" w:type="dxa"/>
            <w:tcMar>
              <w:left w:w="45" w:type="dxa"/>
              <w:right w:w="45" w:type="dxa"/>
            </w:tcMar>
            <w:vAlign w:val="center"/>
          </w:tcPr>
          <w:p w14:paraId="09EA6939">
            <w:pPr>
              <w:widowControl/>
              <w:spacing w:line="300" w:lineRule="exact"/>
              <w:rPr>
                <w:rFonts w:hint="default" w:ascii="Times New Roman" w:hAnsi="Times New Roman" w:eastAsia="仿宋_GB2312" w:cs="Times New Roman"/>
                <w:bCs/>
                <w:color w:val="auto"/>
                <w:kern w:val="0"/>
                <w:szCs w:val="21"/>
                <w:highlight w:val="none"/>
              </w:rPr>
            </w:pPr>
          </w:p>
        </w:tc>
      </w:tr>
      <w:tr w14:paraId="2918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0145B9">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8.2</w:t>
            </w:r>
          </w:p>
        </w:tc>
        <w:tc>
          <w:tcPr>
            <w:tcW w:w="14023" w:type="dxa"/>
            <w:gridSpan w:val="3"/>
            <w:tcMar>
              <w:left w:w="45" w:type="dxa"/>
              <w:right w:w="45" w:type="dxa"/>
            </w:tcMar>
            <w:vAlign w:val="center"/>
          </w:tcPr>
          <w:p w14:paraId="16DCA0FA">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个体防护</w:t>
            </w:r>
          </w:p>
        </w:tc>
      </w:tr>
      <w:tr w14:paraId="526A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930CF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8.2.1</w:t>
            </w:r>
          </w:p>
        </w:tc>
        <w:tc>
          <w:tcPr>
            <w:tcW w:w="3703" w:type="dxa"/>
            <w:tcMar>
              <w:left w:w="45" w:type="dxa"/>
              <w:right w:w="45" w:type="dxa"/>
            </w:tcMar>
            <w:vAlign w:val="center"/>
          </w:tcPr>
          <w:p w14:paraId="4F6640C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实验人员须配备合适的个体防护用品</w:t>
            </w:r>
          </w:p>
        </w:tc>
        <w:tc>
          <w:tcPr>
            <w:tcW w:w="7777" w:type="dxa"/>
            <w:tcMar>
              <w:left w:w="45" w:type="dxa"/>
              <w:right w:w="45" w:type="dxa"/>
            </w:tcMar>
            <w:vAlign w:val="center"/>
          </w:tcPr>
          <w:p w14:paraId="20D0816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（106）进入实验室人员须穿着质地合适的实验服或防护服。</w:t>
            </w:r>
          </w:p>
          <w:p w14:paraId="7A00A46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（107）</w:t>
            </w:r>
            <w:r>
              <w:rPr>
                <w:rFonts w:hint="default" w:ascii="Times New Roman" w:hAnsi="Times New Roman" w:eastAsia="仿宋_GB2312" w:cs="Times New Roman"/>
                <w:b/>
                <w:bCs/>
                <w:color w:val="auto"/>
                <w:kern w:val="0"/>
                <w:szCs w:val="21"/>
                <w:highlight w:val="none"/>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highlight w:val="none"/>
              </w:rPr>
              <w:t>。</w:t>
            </w:r>
          </w:p>
          <w:p w14:paraId="05B003C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（108）进行化学、生物安全和高温实验时，慎戴隐形眼镜。</w:t>
            </w:r>
          </w:p>
          <w:p w14:paraId="4C8D7C4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（109）操作机床等旋转设备时，不得佩戴长围巾、丝巾、领带等，长发须盘在工作帽内。</w:t>
            </w:r>
          </w:p>
          <w:p w14:paraId="6AE47B5D">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（110）穿着化学、生物类实验服或戴实验手套时，不得随意进入非实验区</w:t>
            </w:r>
          </w:p>
        </w:tc>
        <w:tc>
          <w:tcPr>
            <w:tcW w:w="2543" w:type="dxa"/>
            <w:tcMar>
              <w:left w:w="45" w:type="dxa"/>
              <w:right w:w="45" w:type="dxa"/>
            </w:tcMar>
            <w:vAlign w:val="center"/>
          </w:tcPr>
          <w:p w14:paraId="5A5D9000">
            <w:pPr>
              <w:widowControl/>
              <w:spacing w:line="300" w:lineRule="exact"/>
              <w:rPr>
                <w:rFonts w:hint="default" w:ascii="Times New Roman" w:hAnsi="Times New Roman" w:eastAsia="仿宋_GB2312" w:cs="Times New Roman"/>
                <w:bCs/>
                <w:color w:val="auto"/>
                <w:kern w:val="0"/>
                <w:szCs w:val="21"/>
                <w:highlight w:val="none"/>
              </w:rPr>
            </w:pPr>
          </w:p>
        </w:tc>
      </w:tr>
      <w:tr w14:paraId="65C6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7A504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8.2.2</w:t>
            </w:r>
          </w:p>
        </w:tc>
        <w:tc>
          <w:tcPr>
            <w:tcW w:w="3703" w:type="dxa"/>
            <w:tcMar>
              <w:left w:w="45" w:type="dxa"/>
              <w:right w:w="45" w:type="dxa"/>
            </w:tcMar>
            <w:vAlign w:val="center"/>
          </w:tcPr>
          <w:p w14:paraId="7F65BFE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个体防护用品合理存放，存放地点有明显标识</w:t>
            </w:r>
          </w:p>
        </w:tc>
        <w:tc>
          <w:tcPr>
            <w:tcW w:w="7777" w:type="dxa"/>
            <w:tcMar>
              <w:left w:w="45" w:type="dxa"/>
              <w:right w:w="45" w:type="dxa"/>
            </w:tcMar>
            <w:vAlign w:val="center"/>
          </w:tcPr>
          <w:p w14:paraId="7D7EF4A6">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（111）在紧急情况须使用的个体防护器具应分散存放在安全场所，以便于取用</w:t>
            </w:r>
          </w:p>
        </w:tc>
        <w:tc>
          <w:tcPr>
            <w:tcW w:w="2543" w:type="dxa"/>
            <w:tcMar>
              <w:left w:w="45" w:type="dxa"/>
              <w:right w:w="45" w:type="dxa"/>
            </w:tcMar>
            <w:vAlign w:val="center"/>
          </w:tcPr>
          <w:p w14:paraId="0A7C8350">
            <w:pPr>
              <w:widowControl/>
              <w:spacing w:line="300" w:lineRule="exact"/>
              <w:rPr>
                <w:rFonts w:hint="default" w:ascii="Times New Roman" w:hAnsi="Times New Roman" w:eastAsia="仿宋_GB2312" w:cs="Times New Roman"/>
                <w:bCs/>
                <w:color w:val="auto"/>
                <w:kern w:val="0"/>
                <w:szCs w:val="21"/>
                <w:highlight w:val="none"/>
              </w:rPr>
            </w:pPr>
          </w:p>
        </w:tc>
      </w:tr>
      <w:tr w14:paraId="67BC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06D29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8.2.3</w:t>
            </w:r>
          </w:p>
        </w:tc>
        <w:tc>
          <w:tcPr>
            <w:tcW w:w="3703" w:type="dxa"/>
            <w:tcMar>
              <w:left w:w="45" w:type="dxa"/>
              <w:right w:w="45" w:type="dxa"/>
            </w:tcMar>
            <w:vAlign w:val="center"/>
          </w:tcPr>
          <w:p w14:paraId="5AC8C8C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各类个体防护用品的使用有培训及定期检查维护</w:t>
            </w:r>
          </w:p>
        </w:tc>
        <w:tc>
          <w:tcPr>
            <w:tcW w:w="7777" w:type="dxa"/>
            <w:tcMar>
              <w:left w:w="45" w:type="dxa"/>
              <w:right w:w="45" w:type="dxa"/>
            </w:tcMar>
            <w:vAlign w:val="center"/>
          </w:tcPr>
          <w:p w14:paraId="63CBA521">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（112）检查培训及维护记录</w:t>
            </w:r>
          </w:p>
        </w:tc>
        <w:tc>
          <w:tcPr>
            <w:tcW w:w="2543" w:type="dxa"/>
            <w:tcMar>
              <w:left w:w="45" w:type="dxa"/>
              <w:right w:w="45" w:type="dxa"/>
            </w:tcMar>
            <w:vAlign w:val="center"/>
          </w:tcPr>
          <w:p w14:paraId="168AD93A">
            <w:pPr>
              <w:widowControl/>
              <w:spacing w:line="300" w:lineRule="exact"/>
              <w:rPr>
                <w:rFonts w:hint="default" w:ascii="Times New Roman" w:hAnsi="Times New Roman" w:eastAsia="仿宋_GB2312" w:cs="Times New Roman"/>
                <w:bCs/>
                <w:color w:val="auto"/>
                <w:kern w:val="0"/>
                <w:szCs w:val="21"/>
                <w:highlight w:val="none"/>
              </w:rPr>
            </w:pPr>
          </w:p>
        </w:tc>
      </w:tr>
      <w:tr w14:paraId="0E3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9617E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b/>
                <w:bCs/>
                <w:color w:val="auto"/>
                <w:kern w:val="0"/>
                <w:szCs w:val="21"/>
                <w:highlight w:val="none"/>
              </w:rPr>
              <w:t>8.3</w:t>
            </w:r>
          </w:p>
        </w:tc>
        <w:tc>
          <w:tcPr>
            <w:tcW w:w="14023" w:type="dxa"/>
            <w:gridSpan w:val="3"/>
            <w:tcMar>
              <w:left w:w="45" w:type="dxa"/>
              <w:right w:w="45" w:type="dxa"/>
            </w:tcMar>
            <w:vAlign w:val="center"/>
          </w:tcPr>
          <w:p w14:paraId="1F1F4897">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其他</w:t>
            </w:r>
          </w:p>
        </w:tc>
      </w:tr>
      <w:tr w14:paraId="167E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F582C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8.3.1</w:t>
            </w:r>
          </w:p>
        </w:tc>
        <w:tc>
          <w:tcPr>
            <w:tcW w:w="3703" w:type="dxa"/>
            <w:tcMar>
              <w:left w:w="45" w:type="dxa"/>
              <w:right w:w="45" w:type="dxa"/>
            </w:tcMar>
            <w:vAlign w:val="center"/>
          </w:tcPr>
          <w:p w14:paraId="5AA8337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危险性实验（如高温、高压、高速运转等）时必须有两人在场</w:t>
            </w:r>
          </w:p>
        </w:tc>
        <w:tc>
          <w:tcPr>
            <w:tcW w:w="7777" w:type="dxa"/>
            <w:tcMar>
              <w:left w:w="45" w:type="dxa"/>
              <w:right w:w="45" w:type="dxa"/>
            </w:tcMar>
            <w:vAlign w:val="center"/>
          </w:tcPr>
          <w:p w14:paraId="01CC18A8">
            <w:pPr>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（113）实验时不能脱岗，通宵实验须两人在场并有事先审批制度。改变关键参数的危险实验通过安全评估后，实验时须有实验室负责人或其指定</w:t>
            </w:r>
            <w:bookmarkStart w:id="3" w:name="_GoBack"/>
            <w:bookmarkEnd w:id="3"/>
            <w:r>
              <w:rPr>
                <w:rFonts w:hint="default" w:ascii="Times New Roman" w:hAnsi="Times New Roman" w:eastAsia="仿宋_GB2312" w:cs="Times New Roman"/>
                <w:b/>
                <w:bCs/>
                <w:color w:val="auto"/>
                <w:kern w:val="0"/>
                <w:szCs w:val="21"/>
                <w:highlight w:val="none"/>
              </w:rPr>
              <w:t>的安全员在场</w:t>
            </w:r>
          </w:p>
        </w:tc>
        <w:tc>
          <w:tcPr>
            <w:tcW w:w="2543" w:type="dxa"/>
            <w:tcMar>
              <w:left w:w="45" w:type="dxa"/>
              <w:right w:w="45" w:type="dxa"/>
            </w:tcMar>
            <w:vAlign w:val="center"/>
          </w:tcPr>
          <w:p w14:paraId="0DDA9B22">
            <w:pPr>
              <w:widowControl/>
              <w:spacing w:line="300" w:lineRule="exact"/>
              <w:rPr>
                <w:rFonts w:hint="default" w:ascii="Times New Roman" w:hAnsi="Times New Roman" w:eastAsia="仿宋_GB2312" w:cs="Times New Roman"/>
                <w:bCs/>
                <w:color w:val="auto"/>
                <w:kern w:val="0"/>
                <w:szCs w:val="21"/>
                <w:highlight w:val="none"/>
              </w:rPr>
            </w:pPr>
          </w:p>
        </w:tc>
      </w:tr>
      <w:tr w14:paraId="18E4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ACD61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8.3.2</w:t>
            </w:r>
          </w:p>
        </w:tc>
        <w:tc>
          <w:tcPr>
            <w:tcW w:w="3703" w:type="dxa"/>
            <w:tcMar>
              <w:left w:w="45" w:type="dxa"/>
              <w:right w:w="45" w:type="dxa"/>
            </w:tcMar>
            <w:vAlign w:val="center"/>
          </w:tcPr>
          <w:p w14:paraId="249F358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实验台面整洁、实验记录规范</w:t>
            </w:r>
          </w:p>
        </w:tc>
        <w:tc>
          <w:tcPr>
            <w:tcW w:w="7777" w:type="dxa"/>
            <w:tcMar>
              <w:left w:w="45" w:type="dxa"/>
              <w:right w:w="45" w:type="dxa"/>
            </w:tcMar>
            <w:vAlign w:val="center"/>
          </w:tcPr>
          <w:p w14:paraId="0AD58D55">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（114）查看实验台面和实验记录</w:t>
            </w:r>
          </w:p>
        </w:tc>
        <w:tc>
          <w:tcPr>
            <w:tcW w:w="2543" w:type="dxa"/>
            <w:tcMar>
              <w:left w:w="45" w:type="dxa"/>
              <w:right w:w="45" w:type="dxa"/>
            </w:tcMar>
            <w:vAlign w:val="center"/>
          </w:tcPr>
          <w:p w14:paraId="3D9BB113">
            <w:pPr>
              <w:widowControl/>
              <w:spacing w:line="300" w:lineRule="exact"/>
              <w:rPr>
                <w:rFonts w:hint="default" w:ascii="Times New Roman" w:hAnsi="Times New Roman" w:eastAsia="仿宋_GB2312" w:cs="Times New Roman"/>
                <w:bCs/>
                <w:color w:val="auto"/>
                <w:kern w:val="0"/>
                <w:szCs w:val="21"/>
                <w:highlight w:val="none"/>
              </w:rPr>
            </w:pPr>
          </w:p>
        </w:tc>
      </w:tr>
      <w:tr w14:paraId="1923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4E4F10">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9</w:t>
            </w:r>
          </w:p>
        </w:tc>
        <w:tc>
          <w:tcPr>
            <w:tcW w:w="14023" w:type="dxa"/>
            <w:gridSpan w:val="3"/>
            <w:tcMar>
              <w:left w:w="45" w:type="dxa"/>
              <w:right w:w="45" w:type="dxa"/>
            </w:tcMar>
            <w:vAlign w:val="center"/>
          </w:tcPr>
          <w:p w14:paraId="543BE743">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化学安全</w:t>
            </w:r>
          </w:p>
        </w:tc>
      </w:tr>
      <w:tr w14:paraId="64C6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D57D9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b/>
                <w:bCs/>
                <w:color w:val="auto"/>
                <w:kern w:val="0"/>
                <w:szCs w:val="21"/>
                <w:highlight w:val="none"/>
              </w:rPr>
              <w:t>9.1</w:t>
            </w:r>
          </w:p>
        </w:tc>
        <w:tc>
          <w:tcPr>
            <w:tcW w:w="14023" w:type="dxa"/>
            <w:gridSpan w:val="3"/>
            <w:tcMar>
              <w:left w:w="45" w:type="dxa"/>
              <w:right w:w="45" w:type="dxa"/>
            </w:tcMar>
            <w:vAlign w:val="center"/>
          </w:tcPr>
          <w:p w14:paraId="2F40D20B">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危险化学品专用仓库</w:t>
            </w:r>
          </w:p>
        </w:tc>
      </w:tr>
      <w:tr w14:paraId="6BB2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D883D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9.1.1</w:t>
            </w:r>
          </w:p>
        </w:tc>
        <w:tc>
          <w:tcPr>
            <w:tcW w:w="3703" w:type="dxa"/>
            <w:tcMar>
              <w:left w:w="45" w:type="dxa"/>
              <w:right w:w="45" w:type="dxa"/>
            </w:tcMar>
            <w:vAlign w:val="center"/>
          </w:tcPr>
          <w:p w14:paraId="2B46531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危险化学品</w:t>
            </w:r>
            <w:r>
              <w:rPr>
                <w:rFonts w:hint="default" w:ascii="Times New Roman" w:hAnsi="Times New Roman" w:eastAsia="仿宋_GB2312" w:cs="Times New Roman"/>
                <w:b/>
                <w:color w:val="auto"/>
                <w:kern w:val="0"/>
                <w:szCs w:val="21"/>
                <w:highlight w:val="none"/>
              </w:rPr>
              <w:t>专用仓库</w:t>
            </w:r>
            <w:r>
              <w:rPr>
                <w:rFonts w:hint="default" w:ascii="Times New Roman" w:hAnsi="Times New Roman" w:eastAsia="仿宋_GB2312" w:cs="Times New Roman"/>
                <w:color w:val="auto"/>
                <w:kern w:val="0"/>
                <w:szCs w:val="21"/>
                <w:highlight w:val="none"/>
              </w:rPr>
              <w:t>应规范管理</w:t>
            </w:r>
          </w:p>
          <w:p w14:paraId="43EDF1CB">
            <w:pPr>
              <w:pStyle w:val="2"/>
              <w:rPr>
                <w:rFonts w:hint="default" w:ascii="Times New Roman" w:hAnsi="Times New Roman" w:eastAsia="仿宋_GB2312" w:cs="Times New Roman"/>
                <w:color w:val="auto"/>
                <w:highlight w:val="none"/>
              </w:rPr>
            </w:pPr>
          </w:p>
        </w:tc>
        <w:tc>
          <w:tcPr>
            <w:tcW w:w="7777" w:type="dxa"/>
            <w:tcMar>
              <w:left w:w="45" w:type="dxa"/>
              <w:right w:w="45" w:type="dxa"/>
            </w:tcMar>
            <w:vAlign w:val="center"/>
          </w:tcPr>
          <w:p w14:paraId="1A61D62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（115）危险化学品</w:t>
            </w:r>
            <w:r>
              <w:rPr>
                <w:rFonts w:hint="default" w:ascii="Times New Roman" w:hAnsi="Times New Roman" w:eastAsia="仿宋_GB2312" w:cs="Times New Roman"/>
                <w:b/>
                <w:color w:val="auto"/>
                <w:kern w:val="0"/>
                <w:szCs w:val="21"/>
                <w:highlight w:val="none"/>
              </w:rPr>
              <w:t>专用仓库</w:t>
            </w:r>
            <w:r>
              <w:rPr>
                <w:rFonts w:hint="default" w:ascii="Times New Roman" w:hAnsi="Times New Roman" w:eastAsia="仿宋_GB2312" w:cs="Times New Roman"/>
                <w:color w:val="auto"/>
                <w:kern w:val="0"/>
                <w:szCs w:val="21"/>
                <w:highlight w:val="none"/>
              </w:rPr>
              <w:t>须有通风、隔热、避光、防盗、防爆、防静电、泄漏报警、应急喷淋、安全警示标识等措施，符合相关规定，专人管理。</w:t>
            </w:r>
          </w:p>
          <w:p w14:paraId="36628FF5">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（116）危险化学品</w:t>
            </w:r>
            <w:r>
              <w:rPr>
                <w:rFonts w:hint="default" w:ascii="Times New Roman" w:hAnsi="Times New Roman" w:eastAsia="仿宋_GB2312" w:cs="Times New Roman"/>
                <w:b/>
                <w:color w:val="auto"/>
                <w:kern w:val="0"/>
                <w:szCs w:val="21"/>
                <w:highlight w:val="none"/>
              </w:rPr>
              <w:t>专用仓库</w:t>
            </w:r>
            <w:r>
              <w:rPr>
                <w:rFonts w:hint="default" w:ascii="Times New Roman" w:hAnsi="Times New Roman" w:eastAsia="仿宋_GB2312" w:cs="Times New Roman"/>
                <w:color w:val="auto"/>
                <w:kern w:val="0"/>
                <w:szCs w:val="21"/>
                <w:highlight w:val="none"/>
              </w:rPr>
              <w:t>的消防</w:t>
            </w:r>
            <w:r>
              <w:rPr>
                <w:rFonts w:hint="default" w:ascii="Times New Roman" w:hAnsi="Times New Roman" w:eastAsia="仿宋_GB2312" w:cs="Times New Roman"/>
                <w:color w:val="auto"/>
                <w:szCs w:val="21"/>
                <w:highlight w:val="none"/>
              </w:rPr>
              <w:t>设施符合国家相关规定，正确配备灭火器材（如灭火器、灭火毯、砂箱、自动喷淋等）。</w:t>
            </w:r>
          </w:p>
          <w:p w14:paraId="7E397D6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（117）</w:t>
            </w:r>
            <w:r>
              <w:rPr>
                <w:rFonts w:hint="default" w:ascii="Times New Roman" w:hAnsi="Times New Roman" w:eastAsia="仿宋_GB2312" w:cs="Times New Roman"/>
                <w:color w:val="auto"/>
                <w:kern w:val="0"/>
                <w:szCs w:val="21"/>
                <w:highlight w:val="none"/>
              </w:rPr>
              <w:t>危险化学品</w:t>
            </w:r>
            <w:r>
              <w:rPr>
                <w:rFonts w:hint="default" w:ascii="Times New Roman" w:hAnsi="Times New Roman" w:eastAsia="仿宋_GB2312" w:cs="Times New Roman"/>
                <w:b/>
                <w:color w:val="auto"/>
                <w:kern w:val="0"/>
                <w:szCs w:val="21"/>
                <w:highlight w:val="none"/>
              </w:rPr>
              <w:t>专用仓库</w:t>
            </w:r>
            <w:r>
              <w:rPr>
                <w:rFonts w:hint="default" w:ascii="Times New Roman" w:hAnsi="Times New Roman" w:eastAsia="仿宋_GB2312" w:cs="Times New Roman"/>
                <w:color w:val="auto"/>
                <w:kern w:val="0"/>
                <w:szCs w:val="21"/>
                <w:highlight w:val="none"/>
              </w:rPr>
              <w:t>不能建设在地下或半地下，不得建设在实验楼内。若只能在实验楼内存放，则应按照实验室的标准要求管理（见“9.3实验室化学品的存放”）。</w:t>
            </w:r>
          </w:p>
          <w:p w14:paraId="7E8C924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（118）危险化学品</w:t>
            </w:r>
            <w:r>
              <w:rPr>
                <w:rFonts w:hint="default" w:ascii="Times New Roman" w:hAnsi="Times New Roman" w:eastAsia="仿宋_GB2312" w:cs="Times New Roman"/>
                <w:b/>
                <w:color w:val="auto"/>
                <w:kern w:val="0"/>
                <w:szCs w:val="21"/>
                <w:highlight w:val="none"/>
              </w:rPr>
              <w:t>专用仓库</w:t>
            </w:r>
            <w:r>
              <w:rPr>
                <w:rFonts w:hint="default" w:ascii="Times New Roman" w:hAnsi="Times New Roman" w:eastAsia="仿宋_GB2312" w:cs="Times New Roman"/>
                <w:color w:val="auto"/>
                <w:kern w:val="0"/>
                <w:szCs w:val="21"/>
                <w:highlight w:val="none"/>
              </w:rPr>
              <w:t>的试剂不混放，整箱试剂的叠加高度不大于1.5m</w:t>
            </w:r>
          </w:p>
        </w:tc>
        <w:tc>
          <w:tcPr>
            <w:tcW w:w="2543" w:type="dxa"/>
            <w:tcMar>
              <w:left w:w="45" w:type="dxa"/>
              <w:right w:w="45" w:type="dxa"/>
            </w:tcMar>
            <w:vAlign w:val="center"/>
          </w:tcPr>
          <w:p w14:paraId="71D3F6DE">
            <w:pPr>
              <w:widowControl/>
              <w:spacing w:line="300" w:lineRule="exact"/>
              <w:rPr>
                <w:rFonts w:hint="default" w:ascii="Times New Roman" w:hAnsi="Times New Roman" w:eastAsia="仿宋_GB2312" w:cs="Times New Roman"/>
                <w:bCs/>
                <w:color w:val="auto"/>
                <w:kern w:val="0"/>
                <w:szCs w:val="21"/>
                <w:highlight w:val="none"/>
              </w:rPr>
            </w:pPr>
          </w:p>
        </w:tc>
      </w:tr>
      <w:tr w14:paraId="7265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4F6041">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9.2</w:t>
            </w:r>
          </w:p>
        </w:tc>
        <w:tc>
          <w:tcPr>
            <w:tcW w:w="14023" w:type="dxa"/>
            <w:gridSpan w:val="3"/>
            <w:tcMar>
              <w:left w:w="45" w:type="dxa"/>
              <w:right w:w="45" w:type="dxa"/>
            </w:tcMar>
            <w:vAlign w:val="center"/>
          </w:tcPr>
          <w:p w14:paraId="062C73DC">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危险化学品购置</w:t>
            </w:r>
          </w:p>
        </w:tc>
      </w:tr>
      <w:tr w14:paraId="55E5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47203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9.2.1</w:t>
            </w:r>
          </w:p>
        </w:tc>
        <w:tc>
          <w:tcPr>
            <w:tcW w:w="3703" w:type="dxa"/>
            <w:tcMar>
              <w:left w:w="45" w:type="dxa"/>
              <w:right w:w="45" w:type="dxa"/>
            </w:tcMar>
            <w:vAlign w:val="center"/>
          </w:tcPr>
          <w:p w14:paraId="78AB2734">
            <w:pPr>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危险化学品采购须符合要求</w:t>
            </w:r>
          </w:p>
        </w:tc>
        <w:tc>
          <w:tcPr>
            <w:tcW w:w="7777" w:type="dxa"/>
            <w:tcMar>
              <w:left w:w="45" w:type="dxa"/>
              <w:right w:w="45" w:type="dxa"/>
            </w:tcMar>
            <w:vAlign w:val="center"/>
          </w:tcPr>
          <w:p w14:paraId="590BFE8F">
            <w:pPr>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3C3199C7">
            <w:pPr>
              <w:spacing w:line="360" w:lineRule="auto"/>
              <w:rPr>
                <w:rFonts w:hint="default" w:ascii="Times New Roman" w:hAnsi="Times New Roman" w:eastAsia="仿宋_GB2312" w:cs="Times New Roman"/>
                <w:color w:val="auto"/>
                <w:szCs w:val="21"/>
                <w:highlight w:val="none"/>
              </w:rPr>
            </w:pPr>
          </w:p>
        </w:tc>
      </w:tr>
      <w:tr w14:paraId="1421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2330F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9.2.2</w:t>
            </w:r>
          </w:p>
        </w:tc>
        <w:tc>
          <w:tcPr>
            <w:tcW w:w="3703" w:type="dxa"/>
            <w:tcMar>
              <w:left w:w="45" w:type="dxa"/>
              <w:right w:w="45" w:type="dxa"/>
            </w:tcMar>
            <w:vAlign w:val="center"/>
          </w:tcPr>
          <w:p w14:paraId="1F1AF0FE">
            <w:pPr>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剧毒品、易制爆品、易制毒品、爆炸品的购买程序合规</w:t>
            </w:r>
          </w:p>
        </w:tc>
        <w:tc>
          <w:tcPr>
            <w:tcW w:w="7777" w:type="dxa"/>
            <w:tcMar>
              <w:left w:w="45" w:type="dxa"/>
              <w:right w:w="45" w:type="dxa"/>
            </w:tcMar>
            <w:vAlign w:val="center"/>
          </w:tcPr>
          <w:p w14:paraId="679BF1A6">
            <w:pPr>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（120）购买前须经学校审批，报公安机关批准或备案后，向具有经营许可资质的单位购买，并保留报批及审批记录。</w:t>
            </w:r>
          </w:p>
          <w:p w14:paraId="6492620B">
            <w:pPr>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（121）建立购买、验收、使用等台账资料。</w:t>
            </w:r>
          </w:p>
          <w:p w14:paraId="5EC819AF">
            <w:pPr>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color w:val="auto"/>
                <w:kern w:val="0"/>
                <w:szCs w:val="21"/>
                <w:highlight w:val="none"/>
              </w:rPr>
              <w:t>（122）不得私自从外单位获取管制类化学品，也不得给外单位或个人提供管制化学品</w:t>
            </w:r>
          </w:p>
        </w:tc>
        <w:tc>
          <w:tcPr>
            <w:tcW w:w="2543" w:type="dxa"/>
            <w:tcMar>
              <w:left w:w="45" w:type="dxa"/>
              <w:right w:w="45" w:type="dxa"/>
            </w:tcMar>
            <w:vAlign w:val="center"/>
          </w:tcPr>
          <w:p w14:paraId="3D8E38AC">
            <w:pPr>
              <w:widowControl/>
              <w:spacing w:line="300" w:lineRule="exact"/>
              <w:rPr>
                <w:rFonts w:hint="default" w:ascii="Times New Roman" w:hAnsi="Times New Roman" w:eastAsia="仿宋_GB2312" w:cs="Times New Roman"/>
                <w:bCs/>
                <w:color w:val="auto"/>
                <w:kern w:val="0"/>
                <w:szCs w:val="21"/>
                <w:highlight w:val="none"/>
              </w:rPr>
            </w:pPr>
          </w:p>
        </w:tc>
      </w:tr>
      <w:tr w14:paraId="7B33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0E4C6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9.2.3</w:t>
            </w:r>
          </w:p>
        </w:tc>
        <w:tc>
          <w:tcPr>
            <w:tcW w:w="3703" w:type="dxa"/>
            <w:tcMar>
              <w:left w:w="45" w:type="dxa"/>
              <w:right w:w="45" w:type="dxa"/>
            </w:tcMar>
            <w:vAlign w:val="center"/>
          </w:tcPr>
          <w:p w14:paraId="2C94D1AC">
            <w:pPr>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麻醉药品、精神药品等购买前须向食品药品监督管理部门申请</w:t>
            </w:r>
          </w:p>
        </w:tc>
        <w:tc>
          <w:tcPr>
            <w:tcW w:w="7777" w:type="dxa"/>
            <w:tcMar>
              <w:left w:w="45" w:type="dxa"/>
              <w:right w:w="45" w:type="dxa"/>
            </w:tcMar>
            <w:vAlign w:val="center"/>
          </w:tcPr>
          <w:p w14:paraId="643C824F">
            <w:pPr>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color w:val="auto"/>
                <w:kern w:val="0"/>
                <w:szCs w:val="21"/>
                <w:highlight w:val="none"/>
              </w:rPr>
              <w:t>（123）报批同意后向定点供应商或者定点生产企业采购</w:t>
            </w:r>
          </w:p>
        </w:tc>
        <w:tc>
          <w:tcPr>
            <w:tcW w:w="2543" w:type="dxa"/>
            <w:tcMar>
              <w:left w:w="45" w:type="dxa"/>
              <w:right w:w="45" w:type="dxa"/>
            </w:tcMar>
            <w:vAlign w:val="center"/>
          </w:tcPr>
          <w:p w14:paraId="005FEDD7">
            <w:pPr>
              <w:widowControl/>
              <w:spacing w:line="300" w:lineRule="exact"/>
              <w:rPr>
                <w:rFonts w:hint="default" w:ascii="Times New Roman" w:hAnsi="Times New Roman" w:eastAsia="仿宋_GB2312" w:cs="Times New Roman"/>
                <w:bCs/>
                <w:color w:val="auto"/>
                <w:kern w:val="0"/>
                <w:szCs w:val="21"/>
                <w:highlight w:val="none"/>
              </w:rPr>
            </w:pPr>
          </w:p>
        </w:tc>
      </w:tr>
      <w:tr w14:paraId="198C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5BC86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9.2.4</w:t>
            </w:r>
          </w:p>
        </w:tc>
        <w:tc>
          <w:tcPr>
            <w:tcW w:w="3703" w:type="dxa"/>
            <w:tcMar>
              <w:left w:w="45" w:type="dxa"/>
              <w:right w:w="45" w:type="dxa"/>
            </w:tcMar>
            <w:vAlign w:val="center"/>
          </w:tcPr>
          <w:p w14:paraId="202477AE">
            <w:pPr>
              <w:autoSpaceDE w:val="0"/>
              <w:autoSpaceDN w:val="0"/>
              <w:adjustRightInd w:val="0"/>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校内危险化学品的运输安全</w:t>
            </w:r>
          </w:p>
        </w:tc>
        <w:tc>
          <w:tcPr>
            <w:tcW w:w="7777" w:type="dxa"/>
            <w:tcMar>
              <w:left w:w="45" w:type="dxa"/>
              <w:right w:w="45" w:type="dxa"/>
            </w:tcMar>
            <w:vAlign w:val="center"/>
          </w:tcPr>
          <w:p w14:paraId="32101AA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（124）现场抽查，校园内的运输车辆、运送人员、送货方式等符合相关规范</w:t>
            </w:r>
          </w:p>
        </w:tc>
        <w:tc>
          <w:tcPr>
            <w:tcW w:w="2543" w:type="dxa"/>
            <w:tcMar>
              <w:left w:w="45" w:type="dxa"/>
              <w:right w:w="45" w:type="dxa"/>
            </w:tcMar>
            <w:vAlign w:val="center"/>
          </w:tcPr>
          <w:p w14:paraId="2EDAC38C">
            <w:pPr>
              <w:widowControl/>
              <w:spacing w:line="300" w:lineRule="exact"/>
              <w:rPr>
                <w:rFonts w:hint="default" w:ascii="Times New Roman" w:hAnsi="Times New Roman" w:eastAsia="仿宋_GB2312" w:cs="Times New Roman"/>
                <w:bCs/>
                <w:color w:val="auto"/>
                <w:kern w:val="0"/>
                <w:szCs w:val="21"/>
                <w:highlight w:val="none"/>
              </w:rPr>
            </w:pPr>
          </w:p>
        </w:tc>
      </w:tr>
      <w:tr w14:paraId="7A0F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23178F">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9.3</w:t>
            </w:r>
          </w:p>
        </w:tc>
        <w:tc>
          <w:tcPr>
            <w:tcW w:w="14023" w:type="dxa"/>
            <w:gridSpan w:val="3"/>
            <w:tcMar>
              <w:left w:w="45" w:type="dxa"/>
              <w:right w:w="45" w:type="dxa"/>
            </w:tcMar>
            <w:vAlign w:val="center"/>
          </w:tcPr>
          <w:p w14:paraId="1D4BA543">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实验室化学品存放</w:t>
            </w:r>
          </w:p>
        </w:tc>
      </w:tr>
      <w:tr w14:paraId="11A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25D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9.3.1</w:t>
            </w:r>
          </w:p>
        </w:tc>
        <w:tc>
          <w:tcPr>
            <w:tcW w:w="3703" w:type="dxa"/>
            <w:tcMar>
              <w:left w:w="45" w:type="dxa"/>
              <w:right w:w="45" w:type="dxa"/>
            </w:tcMar>
            <w:vAlign w:val="center"/>
          </w:tcPr>
          <w:p w14:paraId="11299064">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color w:val="auto"/>
                <w:kern w:val="0"/>
                <w:szCs w:val="21"/>
                <w:highlight w:val="none"/>
              </w:rPr>
              <w:t>实验室内危险化学品建有动态台账</w:t>
            </w:r>
          </w:p>
        </w:tc>
        <w:tc>
          <w:tcPr>
            <w:tcW w:w="7777" w:type="dxa"/>
            <w:tcMar>
              <w:left w:w="45" w:type="dxa"/>
              <w:right w:w="45" w:type="dxa"/>
            </w:tcMar>
            <w:vAlign w:val="center"/>
          </w:tcPr>
          <w:p w14:paraId="0294FE8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（125）建立实验室危险化学品动态台账，并有危险化学品安全技术说明书（SDS）或安全周知卡，方便查阅。</w:t>
            </w:r>
          </w:p>
          <w:p w14:paraId="28F575B5">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（126）定期清理废旧试剂，无累积现象</w:t>
            </w:r>
          </w:p>
        </w:tc>
        <w:tc>
          <w:tcPr>
            <w:tcW w:w="2543" w:type="dxa"/>
            <w:tcMar>
              <w:left w:w="45" w:type="dxa"/>
              <w:right w:w="45" w:type="dxa"/>
            </w:tcMar>
            <w:vAlign w:val="center"/>
          </w:tcPr>
          <w:p w14:paraId="6BB1737A">
            <w:pPr>
              <w:spacing w:line="360" w:lineRule="auto"/>
              <w:rPr>
                <w:rFonts w:hint="default" w:ascii="Times New Roman" w:hAnsi="Times New Roman" w:eastAsia="仿宋_GB2312" w:cs="Times New Roman"/>
                <w:color w:val="auto"/>
                <w:szCs w:val="21"/>
                <w:highlight w:val="none"/>
              </w:rPr>
            </w:pPr>
          </w:p>
        </w:tc>
      </w:tr>
      <w:tr w14:paraId="6316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69330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9.3.2</w:t>
            </w:r>
          </w:p>
        </w:tc>
        <w:tc>
          <w:tcPr>
            <w:tcW w:w="3703" w:type="dxa"/>
            <w:tcMar>
              <w:left w:w="45" w:type="dxa"/>
              <w:right w:w="45" w:type="dxa"/>
            </w:tcMar>
            <w:vAlign w:val="center"/>
          </w:tcPr>
          <w:p w14:paraId="48D8597B">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化学品有专用存放空间并科学有序存放</w:t>
            </w:r>
          </w:p>
        </w:tc>
        <w:tc>
          <w:tcPr>
            <w:tcW w:w="7777" w:type="dxa"/>
            <w:tcMar>
              <w:left w:w="45" w:type="dxa"/>
              <w:right w:w="45" w:type="dxa"/>
            </w:tcMar>
            <w:vAlign w:val="center"/>
          </w:tcPr>
          <w:p w14:paraId="2EEDA2EB">
            <w:pPr>
              <w:widowControl/>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highlight w:val="none"/>
              </w:rPr>
              <w:t>（127）</w:t>
            </w:r>
            <w:r>
              <w:rPr>
                <w:rFonts w:hint="default" w:ascii="Times New Roman" w:hAnsi="Times New Roman" w:eastAsia="仿宋_GB2312" w:cs="Times New Roman"/>
                <w:b/>
                <w:bCs/>
                <w:color w:val="auto"/>
                <w:highlight w:val="none"/>
              </w:rPr>
              <w:t>危险化学品应当储存在专用储存室或储存专柜内，并由专人负责管理</w:t>
            </w:r>
            <w:r>
              <w:rPr>
                <w:rFonts w:hint="default" w:ascii="Times New Roman" w:hAnsi="Times New Roman" w:eastAsia="仿宋_GB2312" w:cs="Times New Roman"/>
                <w:b/>
                <w:bCs/>
                <w:color w:val="auto"/>
                <w:kern w:val="0"/>
                <w:highlight w:val="none"/>
              </w:rPr>
              <w:t>。</w:t>
            </w:r>
          </w:p>
          <w:p w14:paraId="4478F136">
            <w:pPr>
              <w:widowControl/>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（128）</w:t>
            </w:r>
            <w:r>
              <w:rPr>
                <w:rFonts w:hint="default" w:ascii="Times New Roman" w:hAnsi="Times New Roman" w:eastAsia="仿宋_GB2312" w:cs="Times New Roman"/>
                <w:color w:val="auto"/>
                <w:highlight w:val="none"/>
              </w:rPr>
              <w:t>储藏室、储藏区、储存柜等</w:t>
            </w:r>
            <w:r>
              <w:rPr>
                <w:rFonts w:hint="default" w:ascii="Times New Roman" w:hAnsi="Times New Roman" w:eastAsia="仿宋_GB2312" w:cs="Times New Roman"/>
                <w:bCs/>
                <w:color w:val="auto"/>
                <w:kern w:val="0"/>
                <w:highlight w:val="none"/>
              </w:rPr>
              <w:t>应</w:t>
            </w:r>
            <w:r>
              <w:rPr>
                <w:rFonts w:hint="default" w:ascii="Times New Roman" w:hAnsi="Times New Roman" w:eastAsia="仿宋_GB2312" w:cs="Times New Roman"/>
                <w:color w:val="auto"/>
                <w:kern w:val="0"/>
                <w:highlight w:val="none"/>
              </w:rPr>
              <w:t>通风、隔热、避免阳光直射，易泄漏、易挥发的试剂存放设备与地点应保证充足的通风。</w:t>
            </w:r>
          </w:p>
          <w:p w14:paraId="6ECA8DE4">
            <w:pPr>
              <w:widowControl/>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（129）试剂柜中不能有电源插座或接线板。</w:t>
            </w:r>
          </w:p>
          <w:p w14:paraId="6BB24588">
            <w:pPr>
              <w:widowControl/>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（130）化学品有序分类存放，固体、液体不混乱放置，互为禁忌的化学品不得混放，试剂不得叠放。有机溶剂储存区应远离热源和火源。装有试剂的试剂瓶不得开口放置。实验台架无挡板不得存放化学试剂。</w:t>
            </w:r>
          </w:p>
          <w:p w14:paraId="31226D37">
            <w:pPr>
              <w:widowControl/>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（131）配备必要的二次泄漏防护、吸附或防溢流功能</w:t>
            </w:r>
          </w:p>
        </w:tc>
        <w:tc>
          <w:tcPr>
            <w:tcW w:w="2543" w:type="dxa"/>
            <w:tcMar>
              <w:left w:w="45" w:type="dxa"/>
              <w:right w:w="45" w:type="dxa"/>
            </w:tcMar>
            <w:vAlign w:val="center"/>
          </w:tcPr>
          <w:p w14:paraId="10C4A5BC">
            <w:pPr>
              <w:widowControl/>
              <w:spacing w:line="300" w:lineRule="exact"/>
              <w:rPr>
                <w:rFonts w:hint="default" w:ascii="Times New Roman" w:hAnsi="Times New Roman" w:eastAsia="仿宋_GB2312" w:cs="Times New Roman"/>
                <w:bCs/>
                <w:color w:val="auto"/>
                <w:kern w:val="0"/>
                <w:szCs w:val="21"/>
                <w:highlight w:val="none"/>
              </w:rPr>
            </w:pPr>
          </w:p>
        </w:tc>
      </w:tr>
      <w:tr w14:paraId="144B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C733E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9.3.3</w:t>
            </w:r>
          </w:p>
        </w:tc>
        <w:tc>
          <w:tcPr>
            <w:tcW w:w="3703" w:type="dxa"/>
            <w:tcMar>
              <w:left w:w="45" w:type="dxa"/>
              <w:right w:w="45" w:type="dxa"/>
            </w:tcMar>
            <w:vAlign w:val="center"/>
          </w:tcPr>
          <w:p w14:paraId="012061B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实验室内存放的危险化学品总量符合规定要求</w:t>
            </w:r>
          </w:p>
        </w:tc>
        <w:tc>
          <w:tcPr>
            <w:tcW w:w="7777" w:type="dxa"/>
            <w:tcMar>
              <w:left w:w="45" w:type="dxa"/>
              <w:right w:w="45" w:type="dxa"/>
            </w:tcMar>
            <w:vAlign w:val="center"/>
          </w:tcPr>
          <w:p w14:paraId="5250A588">
            <w:pPr>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szCs w:val="21"/>
                <w:highlight w:val="none"/>
              </w:rPr>
              <w:t>（132）</w:t>
            </w:r>
            <w:r>
              <w:rPr>
                <w:rFonts w:hint="default" w:ascii="Times New Roman" w:hAnsi="Times New Roman" w:eastAsia="仿宋_GB2312" w:cs="Times New Roman"/>
                <w:b/>
                <w:bCs/>
                <w:color w:val="auto"/>
                <w:kern w:val="0"/>
                <w:szCs w:val="21"/>
                <w:highlight w:val="none"/>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highlight w:val="none"/>
              </w:rPr>
              <w:t>。</w:t>
            </w:r>
          </w:p>
          <w:p w14:paraId="7AEB3143">
            <w:pPr>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2BCDE15C">
            <w:pPr>
              <w:widowControl/>
              <w:spacing w:line="300" w:lineRule="exact"/>
              <w:rPr>
                <w:rFonts w:hint="default" w:ascii="Times New Roman" w:hAnsi="Times New Roman" w:eastAsia="仿宋_GB2312" w:cs="Times New Roman"/>
                <w:bCs/>
                <w:color w:val="auto"/>
                <w:kern w:val="0"/>
                <w:szCs w:val="21"/>
                <w:highlight w:val="none"/>
              </w:rPr>
            </w:pPr>
          </w:p>
        </w:tc>
      </w:tr>
      <w:tr w14:paraId="5F05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57576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9.3.4</w:t>
            </w:r>
          </w:p>
        </w:tc>
        <w:tc>
          <w:tcPr>
            <w:tcW w:w="3703" w:type="dxa"/>
            <w:tcMar>
              <w:left w:w="45" w:type="dxa"/>
              <w:right w:w="45" w:type="dxa"/>
            </w:tcMar>
            <w:vAlign w:val="center"/>
          </w:tcPr>
          <w:p w14:paraId="39C1E7A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化学品标签应显著、完整、清晰</w:t>
            </w:r>
          </w:p>
        </w:tc>
        <w:tc>
          <w:tcPr>
            <w:tcW w:w="7777" w:type="dxa"/>
            <w:tcMar>
              <w:left w:w="45" w:type="dxa"/>
              <w:right w:w="45" w:type="dxa"/>
            </w:tcMar>
            <w:vAlign w:val="center"/>
          </w:tcPr>
          <w:p w14:paraId="5EE109E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（134）化学品包装物上须有符合规定的化学品标签。</w:t>
            </w:r>
          </w:p>
          <w:p w14:paraId="7A46802B">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highlight w:val="none"/>
              </w:rPr>
              <w:t>模糊、腐蚀</w:t>
            </w:r>
            <w:r>
              <w:rPr>
                <w:rFonts w:hint="default" w:ascii="Times New Roman" w:hAnsi="Times New Roman" w:eastAsia="仿宋_GB2312" w:cs="Times New Roman"/>
                <w:color w:val="auto"/>
                <w:kern w:val="0"/>
                <w:szCs w:val="21"/>
                <w:highlight w:val="none"/>
              </w:rPr>
              <w:t>后应及时补上，如不能确认，则按不明废弃化学品处置</w:t>
            </w:r>
          </w:p>
        </w:tc>
        <w:tc>
          <w:tcPr>
            <w:tcW w:w="2543" w:type="dxa"/>
            <w:tcMar>
              <w:left w:w="45" w:type="dxa"/>
              <w:right w:w="45" w:type="dxa"/>
            </w:tcMar>
            <w:vAlign w:val="center"/>
          </w:tcPr>
          <w:p w14:paraId="7DAFDEDD">
            <w:pPr>
              <w:widowControl/>
              <w:spacing w:line="300" w:lineRule="exact"/>
              <w:rPr>
                <w:rFonts w:hint="default" w:ascii="Times New Roman" w:hAnsi="Times New Roman" w:eastAsia="仿宋_GB2312" w:cs="Times New Roman"/>
                <w:bCs/>
                <w:color w:val="auto"/>
                <w:kern w:val="0"/>
                <w:szCs w:val="21"/>
                <w:highlight w:val="none"/>
              </w:rPr>
            </w:pPr>
          </w:p>
        </w:tc>
      </w:tr>
      <w:tr w14:paraId="17BD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5E4C0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9.3.5</w:t>
            </w:r>
          </w:p>
        </w:tc>
        <w:tc>
          <w:tcPr>
            <w:tcW w:w="3703" w:type="dxa"/>
            <w:tcMar>
              <w:left w:w="45" w:type="dxa"/>
              <w:right w:w="45" w:type="dxa"/>
            </w:tcMar>
            <w:vAlign w:val="center"/>
          </w:tcPr>
          <w:p w14:paraId="0E973D1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bCs/>
                <w:color w:val="auto"/>
                <w:kern w:val="0"/>
                <w:szCs w:val="21"/>
                <w:highlight w:val="none"/>
              </w:rPr>
              <w:t>其他存放要求</w:t>
            </w:r>
          </w:p>
        </w:tc>
        <w:tc>
          <w:tcPr>
            <w:tcW w:w="7777" w:type="dxa"/>
            <w:tcMar>
              <w:left w:w="45" w:type="dxa"/>
              <w:right w:w="45" w:type="dxa"/>
            </w:tcMar>
            <w:vAlign w:val="center"/>
          </w:tcPr>
          <w:p w14:paraId="5B0ED30C">
            <w:pPr>
              <w:widowControl/>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（136）装有配制试剂、合成品、样品等的容器上标签信息明确，标签信息包括名称或编号、使用人、日期等。</w:t>
            </w:r>
          </w:p>
          <w:p w14:paraId="62C368B2">
            <w:pPr>
              <w:widowControl/>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（137）无使用饮料瓶存放试剂、样品的现象，如确需使用，必须撕去原包装纸，并贴试剂标签。</w:t>
            </w:r>
          </w:p>
          <w:p w14:paraId="7D945FBC">
            <w:pPr>
              <w:widowControl/>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（138）</w:t>
            </w:r>
            <w:r>
              <w:rPr>
                <w:rFonts w:hint="default" w:ascii="Times New Roman" w:hAnsi="Times New Roman" w:eastAsia="仿宋_GB2312" w:cs="Times New Roman"/>
                <w:color w:val="auto"/>
                <w:kern w:val="0"/>
                <w:szCs w:val="21"/>
                <w:highlight w:val="none"/>
              </w:rPr>
              <w:t>不使用破损量筒、试管、移液管等玻璃器皿</w:t>
            </w:r>
          </w:p>
        </w:tc>
        <w:tc>
          <w:tcPr>
            <w:tcW w:w="2543" w:type="dxa"/>
            <w:tcMar>
              <w:left w:w="45" w:type="dxa"/>
              <w:right w:w="45" w:type="dxa"/>
            </w:tcMar>
            <w:vAlign w:val="center"/>
          </w:tcPr>
          <w:p w14:paraId="40299ECA">
            <w:pPr>
              <w:widowControl/>
              <w:spacing w:line="300" w:lineRule="exact"/>
              <w:rPr>
                <w:rFonts w:hint="default" w:ascii="Times New Roman" w:hAnsi="Times New Roman" w:eastAsia="仿宋_GB2312" w:cs="Times New Roman"/>
                <w:bCs/>
                <w:color w:val="auto"/>
                <w:kern w:val="0"/>
                <w:szCs w:val="21"/>
                <w:highlight w:val="none"/>
              </w:rPr>
            </w:pPr>
          </w:p>
        </w:tc>
      </w:tr>
      <w:tr w14:paraId="31DD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A9AC1">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9.4</w:t>
            </w:r>
          </w:p>
        </w:tc>
        <w:tc>
          <w:tcPr>
            <w:tcW w:w="14023" w:type="dxa"/>
            <w:gridSpan w:val="3"/>
            <w:tcMar>
              <w:left w:w="45" w:type="dxa"/>
              <w:right w:w="45" w:type="dxa"/>
            </w:tcMar>
            <w:vAlign w:val="center"/>
          </w:tcPr>
          <w:p w14:paraId="6F1FCBE1">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实验操作安全</w:t>
            </w:r>
          </w:p>
        </w:tc>
      </w:tr>
      <w:tr w14:paraId="30B5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C1265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9.4.1</w:t>
            </w:r>
          </w:p>
        </w:tc>
        <w:tc>
          <w:tcPr>
            <w:tcW w:w="3703" w:type="dxa"/>
            <w:tcMar>
              <w:left w:w="45" w:type="dxa"/>
              <w:right w:w="45" w:type="dxa"/>
            </w:tcMar>
            <w:vAlign w:val="center"/>
          </w:tcPr>
          <w:p w14:paraId="44E9C94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制定危险实验、危险化工工艺指导书、各类标准操作规程（SOP）、应急预案</w:t>
            </w:r>
          </w:p>
        </w:tc>
        <w:tc>
          <w:tcPr>
            <w:tcW w:w="7777" w:type="dxa"/>
            <w:tcMar>
              <w:left w:w="45" w:type="dxa"/>
              <w:right w:w="45" w:type="dxa"/>
            </w:tcMar>
            <w:vAlign w:val="center"/>
          </w:tcPr>
          <w:p w14:paraId="57DC710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3EE9F702">
            <w:pPr>
              <w:widowControl/>
              <w:spacing w:line="300" w:lineRule="exact"/>
              <w:rPr>
                <w:rFonts w:hint="default" w:ascii="Times New Roman" w:hAnsi="Times New Roman" w:eastAsia="仿宋_GB2312" w:cs="Times New Roman"/>
                <w:bCs/>
                <w:color w:val="auto"/>
                <w:kern w:val="0"/>
                <w:szCs w:val="21"/>
                <w:highlight w:val="none"/>
              </w:rPr>
            </w:pPr>
          </w:p>
        </w:tc>
      </w:tr>
      <w:tr w14:paraId="4052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983DF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9.4.2</w:t>
            </w:r>
          </w:p>
        </w:tc>
        <w:tc>
          <w:tcPr>
            <w:tcW w:w="3703" w:type="dxa"/>
            <w:tcMar>
              <w:left w:w="45" w:type="dxa"/>
              <w:right w:w="45" w:type="dxa"/>
            </w:tcMar>
            <w:vAlign w:val="center"/>
          </w:tcPr>
          <w:p w14:paraId="648E1B1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特别关注危险化学工艺和装置</w:t>
            </w:r>
          </w:p>
        </w:tc>
        <w:tc>
          <w:tcPr>
            <w:tcW w:w="7777" w:type="dxa"/>
            <w:tcMar>
              <w:left w:w="45" w:type="dxa"/>
              <w:right w:w="45" w:type="dxa"/>
            </w:tcMar>
            <w:vAlign w:val="center"/>
          </w:tcPr>
          <w:p w14:paraId="3AB27D4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（140）</w:t>
            </w:r>
            <w:r>
              <w:rPr>
                <w:rFonts w:hint="default" w:ascii="Times New Roman" w:hAnsi="Times New Roman" w:eastAsia="仿宋_GB2312" w:cs="Times New Roman"/>
                <w:b/>
                <w:bCs/>
                <w:color w:val="auto"/>
                <w:kern w:val="0"/>
                <w:szCs w:val="21"/>
                <w:highlight w:val="none"/>
              </w:rPr>
              <w:t>涉及危险化工工艺、重点监管危险化学品的反应装置应设置自动化控制系统，锂电池研究区域应远离其他可燃物品。</w:t>
            </w:r>
          </w:p>
          <w:p w14:paraId="6C7CD58C">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（141）涉及放热反应的危险化工工艺生产装置应设置双重电源供电或控制系统应配置不间断电源</w:t>
            </w:r>
          </w:p>
        </w:tc>
        <w:tc>
          <w:tcPr>
            <w:tcW w:w="2543" w:type="dxa"/>
            <w:tcMar>
              <w:left w:w="45" w:type="dxa"/>
              <w:right w:w="45" w:type="dxa"/>
            </w:tcMar>
            <w:vAlign w:val="center"/>
          </w:tcPr>
          <w:p w14:paraId="0C194403">
            <w:pPr>
              <w:widowControl/>
              <w:spacing w:line="300" w:lineRule="exact"/>
              <w:rPr>
                <w:rFonts w:hint="default" w:ascii="Times New Roman" w:hAnsi="Times New Roman" w:eastAsia="仿宋_GB2312" w:cs="Times New Roman"/>
                <w:bCs/>
                <w:color w:val="auto"/>
                <w:kern w:val="0"/>
                <w:szCs w:val="21"/>
                <w:highlight w:val="none"/>
              </w:rPr>
            </w:pPr>
          </w:p>
        </w:tc>
      </w:tr>
      <w:tr w14:paraId="4531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609E4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9.4.3</w:t>
            </w:r>
          </w:p>
        </w:tc>
        <w:tc>
          <w:tcPr>
            <w:tcW w:w="3703" w:type="dxa"/>
            <w:tcMar>
              <w:left w:w="45" w:type="dxa"/>
              <w:right w:w="45" w:type="dxa"/>
            </w:tcMar>
            <w:vAlign w:val="center"/>
          </w:tcPr>
          <w:p w14:paraId="3DA4CA9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做好有毒有害废气的处理和防护</w:t>
            </w:r>
          </w:p>
        </w:tc>
        <w:tc>
          <w:tcPr>
            <w:tcW w:w="7777" w:type="dxa"/>
            <w:tcMar>
              <w:left w:w="45" w:type="dxa"/>
              <w:right w:w="45" w:type="dxa"/>
            </w:tcMar>
            <w:vAlign w:val="center"/>
          </w:tcPr>
          <w:p w14:paraId="75FD7AB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1859B997">
            <w:pPr>
              <w:widowControl/>
              <w:spacing w:line="300" w:lineRule="exact"/>
              <w:rPr>
                <w:rFonts w:hint="default" w:ascii="Times New Roman" w:hAnsi="Times New Roman" w:eastAsia="仿宋_GB2312" w:cs="Times New Roman"/>
                <w:color w:val="auto"/>
                <w:kern w:val="0"/>
                <w:szCs w:val="21"/>
                <w:highlight w:val="none"/>
              </w:rPr>
            </w:pPr>
          </w:p>
        </w:tc>
      </w:tr>
      <w:tr w14:paraId="7344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F23696">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9.5</w:t>
            </w:r>
          </w:p>
        </w:tc>
        <w:tc>
          <w:tcPr>
            <w:tcW w:w="14023" w:type="dxa"/>
            <w:gridSpan w:val="3"/>
            <w:tcMar>
              <w:left w:w="45" w:type="dxa"/>
              <w:right w:w="45" w:type="dxa"/>
            </w:tcMar>
            <w:vAlign w:val="center"/>
          </w:tcPr>
          <w:p w14:paraId="5924C91F">
            <w:pPr>
              <w:spacing w:line="300" w:lineRule="exact"/>
              <w:rPr>
                <w:rFonts w:hint="default" w:ascii="Times New Roman" w:hAnsi="Times New Roman" w:eastAsia="仿宋_GB2312" w:cs="Times New Roman"/>
                <w:b/>
                <w:color w:val="auto"/>
                <w:szCs w:val="21"/>
                <w:highlight w:val="none"/>
              </w:rPr>
            </w:pPr>
            <w:r>
              <w:rPr>
                <w:rFonts w:hint="default" w:ascii="Times New Roman" w:hAnsi="Times New Roman" w:eastAsia="仿宋_GB2312" w:cs="Times New Roman"/>
                <w:b/>
                <w:color w:val="auto"/>
                <w:kern w:val="0"/>
                <w:szCs w:val="21"/>
                <w:highlight w:val="none"/>
              </w:rPr>
              <w:t>管制类化学品管理</w:t>
            </w:r>
          </w:p>
        </w:tc>
      </w:tr>
      <w:tr w14:paraId="2F99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E312C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9.5.1</w:t>
            </w:r>
          </w:p>
        </w:tc>
        <w:tc>
          <w:tcPr>
            <w:tcW w:w="3703" w:type="dxa"/>
            <w:tcMar>
              <w:left w:w="45" w:type="dxa"/>
              <w:right w:w="45" w:type="dxa"/>
            </w:tcMar>
            <w:vAlign w:val="center"/>
          </w:tcPr>
          <w:p w14:paraId="13530FD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剧毒化学品应当单独存放, 实行双人收发、 双人保管制度，技防措施符合管制要求</w:t>
            </w:r>
          </w:p>
          <w:p w14:paraId="74928403">
            <w:pPr>
              <w:spacing w:line="300" w:lineRule="exact"/>
              <w:rPr>
                <w:rFonts w:hint="default" w:ascii="Times New Roman" w:hAnsi="Times New Roman" w:eastAsia="仿宋_GB2312" w:cs="Times New Roman"/>
                <w:color w:val="auto"/>
                <w:kern w:val="0"/>
                <w:szCs w:val="21"/>
                <w:highlight w:val="none"/>
              </w:rPr>
            </w:pPr>
          </w:p>
        </w:tc>
        <w:tc>
          <w:tcPr>
            <w:tcW w:w="7777" w:type="dxa"/>
            <w:tcMar>
              <w:left w:w="45" w:type="dxa"/>
              <w:right w:w="45" w:type="dxa"/>
            </w:tcMar>
            <w:vAlign w:val="center"/>
          </w:tcPr>
          <w:p w14:paraId="33DF650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（143）单独存放，不得与易燃、易爆、腐蚀性物品等一起存放。</w:t>
            </w:r>
          </w:p>
          <w:p w14:paraId="1C343DE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（144）有专人管理并做好贮存、领取、发放情况登记，登记资料至少保存3年。</w:t>
            </w:r>
          </w:p>
          <w:p w14:paraId="1B367CEA">
            <w:pPr>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kern w:val="0"/>
                <w:szCs w:val="21"/>
                <w:highlight w:val="none"/>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1462DBE0">
            <w:pPr>
              <w:widowControl/>
              <w:spacing w:line="300" w:lineRule="exact"/>
              <w:rPr>
                <w:rFonts w:hint="default" w:ascii="Times New Roman" w:hAnsi="Times New Roman" w:eastAsia="仿宋_GB2312" w:cs="Times New Roman"/>
                <w:b/>
                <w:color w:val="auto"/>
                <w:kern w:val="0"/>
                <w:szCs w:val="21"/>
                <w:highlight w:val="none"/>
              </w:rPr>
            </w:pPr>
          </w:p>
        </w:tc>
      </w:tr>
      <w:tr w14:paraId="165F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A8A99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9.5.2</w:t>
            </w:r>
          </w:p>
        </w:tc>
        <w:tc>
          <w:tcPr>
            <w:tcW w:w="3703" w:type="dxa"/>
            <w:tcMar>
              <w:left w:w="45" w:type="dxa"/>
              <w:right w:w="45" w:type="dxa"/>
            </w:tcMar>
            <w:vAlign w:val="center"/>
          </w:tcPr>
          <w:p w14:paraId="0A7FCCD9">
            <w:pPr>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易制毒化学品储存规范，台账清晰</w:t>
            </w:r>
          </w:p>
          <w:p w14:paraId="63E24805">
            <w:pPr>
              <w:widowControl/>
              <w:spacing w:line="300" w:lineRule="exact"/>
              <w:rPr>
                <w:rFonts w:hint="default" w:ascii="Times New Roman" w:hAnsi="Times New Roman" w:eastAsia="仿宋_GB2312" w:cs="Times New Roman"/>
                <w:color w:val="auto"/>
                <w:kern w:val="0"/>
                <w:szCs w:val="21"/>
                <w:highlight w:val="none"/>
              </w:rPr>
            </w:pPr>
          </w:p>
        </w:tc>
        <w:tc>
          <w:tcPr>
            <w:tcW w:w="7777" w:type="dxa"/>
            <w:tcMar>
              <w:left w:w="45" w:type="dxa"/>
              <w:right w:w="45" w:type="dxa"/>
            </w:tcMar>
            <w:vAlign w:val="center"/>
          </w:tcPr>
          <w:p w14:paraId="7AF1C19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（146）应设置专用存储区或者储存专柜并有防盗措施。</w:t>
            </w:r>
          </w:p>
          <w:p w14:paraId="279C3BD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（147）第一类易制毒化学品（含药品类易制毒化学品）实行双人双锁管理，账册保存期限不少于2年</w:t>
            </w:r>
          </w:p>
        </w:tc>
        <w:tc>
          <w:tcPr>
            <w:tcW w:w="2543" w:type="dxa"/>
            <w:tcMar>
              <w:left w:w="45" w:type="dxa"/>
              <w:right w:w="45" w:type="dxa"/>
            </w:tcMar>
            <w:vAlign w:val="center"/>
          </w:tcPr>
          <w:p w14:paraId="2FB037F7">
            <w:pPr>
              <w:widowControl/>
              <w:spacing w:line="300" w:lineRule="exact"/>
              <w:rPr>
                <w:rFonts w:hint="default" w:ascii="Times New Roman" w:hAnsi="Times New Roman" w:eastAsia="仿宋_GB2312" w:cs="Times New Roman"/>
                <w:b/>
                <w:color w:val="auto"/>
                <w:kern w:val="0"/>
                <w:szCs w:val="21"/>
                <w:highlight w:val="none"/>
              </w:rPr>
            </w:pPr>
          </w:p>
        </w:tc>
      </w:tr>
      <w:tr w14:paraId="56C9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43935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9.5.3</w:t>
            </w:r>
          </w:p>
        </w:tc>
        <w:tc>
          <w:tcPr>
            <w:tcW w:w="3703" w:type="dxa"/>
            <w:tcMar>
              <w:left w:w="45" w:type="dxa"/>
              <w:right w:w="45" w:type="dxa"/>
            </w:tcMar>
            <w:vAlign w:val="center"/>
          </w:tcPr>
          <w:p w14:paraId="3C79AAD5">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易制爆化学品存量合规、双人双锁保管</w:t>
            </w:r>
          </w:p>
          <w:p w14:paraId="229B8905">
            <w:pPr>
              <w:widowControl/>
              <w:spacing w:line="300" w:lineRule="exact"/>
              <w:rPr>
                <w:rFonts w:hint="default" w:ascii="Times New Roman" w:hAnsi="Times New Roman" w:eastAsia="仿宋_GB2312" w:cs="Times New Roman"/>
                <w:color w:val="auto"/>
                <w:kern w:val="0"/>
                <w:szCs w:val="21"/>
                <w:highlight w:val="none"/>
              </w:rPr>
            </w:pPr>
          </w:p>
        </w:tc>
        <w:tc>
          <w:tcPr>
            <w:tcW w:w="7777" w:type="dxa"/>
            <w:tcMar>
              <w:left w:w="45" w:type="dxa"/>
              <w:right w:w="45" w:type="dxa"/>
            </w:tcMar>
            <w:vAlign w:val="center"/>
          </w:tcPr>
          <w:p w14:paraId="43E43DE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highlight w:val="none"/>
              </w:rPr>
              <w:t>（148）</w:t>
            </w:r>
            <w:r>
              <w:rPr>
                <w:rFonts w:hint="default" w:ascii="Times New Roman" w:hAnsi="Times New Roman" w:eastAsia="仿宋_GB2312" w:cs="Times New Roman"/>
                <w:b/>
                <w:bCs/>
                <w:color w:val="auto"/>
                <w:kern w:val="0"/>
                <w:highlight w:val="none"/>
              </w:rPr>
              <w:t>易制爆化学品存量合规，单个储存室或者储存柜储存量不超过50kg</w:t>
            </w:r>
            <w:r>
              <w:rPr>
                <w:rFonts w:hint="default" w:ascii="Times New Roman" w:hAnsi="Times New Roman" w:eastAsia="仿宋_GB2312" w:cs="Times New Roman"/>
                <w:b/>
                <w:bCs/>
                <w:color w:val="auto"/>
                <w:kern w:val="0"/>
                <w:szCs w:val="21"/>
                <w:highlight w:val="none"/>
              </w:rPr>
              <w:t>。</w:t>
            </w:r>
          </w:p>
          <w:p w14:paraId="2627FD3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672A248F">
            <w:pPr>
              <w:widowControl/>
              <w:spacing w:line="300" w:lineRule="exact"/>
              <w:rPr>
                <w:rFonts w:hint="default" w:ascii="Times New Roman" w:hAnsi="Times New Roman" w:eastAsia="仿宋_GB2312" w:cs="Times New Roman"/>
                <w:b/>
                <w:color w:val="auto"/>
                <w:kern w:val="0"/>
                <w:szCs w:val="21"/>
                <w:highlight w:val="none"/>
              </w:rPr>
            </w:pPr>
          </w:p>
        </w:tc>
      </w:tr>
      <w:tr w14:paraId="5C46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4B899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9.5.4</w:t>
            </w:r>
          </w:p>
        </w:tc>
        <w:tc>
          <w:tcPr>
            <w:tcW w:w="3703" w:type="dxa"/>
            <w:tcMar>
              <w:left w:w="45" w:type="dxa"/>
              <w:right w:w="45" w:type="dxa"/>
            </w:tcMar>
            <w:vAlign w:val="center"/>
          </w:tcPr>
          <w:p w14:paraId="54EAC06C">
            <w:pPr>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麻醉药品和第一类精神药品管理符合“双人双锁”要求，有专用账册</w:t>
            </w:r>
          </w:p>
        </w:tc>
        <w:tc>
          <w:tcPr>
            <w:tcW w:w="7777" w:type="dxa"/>
            <w:tcMar>
              <w:left w:w="45" w:type="dxa"/>
              <w:right w:w="45" w:type="dxa"/>
            </w:tcMar>
            <w:vAlign w:val="center"/>
          </w:tcPr>
          <w:p w14:paraId="7F1F99C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（150）设立专库或者专柜储存，专库应当设有防盗设施并安装报警装置，专柜应当使用保险柜，专库和专柜应当实行双人双锁管理。</w:t>
            </w:r>
          </w:p>
          <w:p w14:paraId="7A5BC66D">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（151）配备专人管理并建立专用账册，专用账册的保存期限应当自药品有效期期满之日起不少于5年</w:t>
            </w:r>
          </w:p>
        </w:tc>
        <w:tc>
          <w:tcPr>
            <w:tcW w:w="2543" w:type="dxa"/>
            <w:tcMar>
              <w:left w:w="45" w:type="dxa"/>
              <w:right w:w="45" w:type="dxa"/>
            </w:tcMar>
            <w:vAlign w:val="center"/>
          </w:tcPr>
          <w:p w14:paraId="2DD8411B">
            <w:pPr>
              <w:widowControl/>
              <w:spacing w:line="300" w:lineRule="exact"/>
              <w:rPr>
                <w:rFonts w:hint="default" w:ascii="Times New Roman" w:hAnsi="Times New Roman" w:eastAsia="仿宋_GB2312" w:cs="Times New Roman"/>
                <w:b/>
                <w:color w:val="auto"/>
                <w:kern w:val="0"/>
                <w:szCs w:val="21"/>
                <w:highlight w:val="none"/>
              </w:rPr>
            </w:pPr>
          </w:p>
        </w:tc>
      </w:tr>
      <w:tr w14:paraId="6C04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BF1DA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9.5.5</w:t>
            </w:r>
          </w:p>
        </w:tc>
        <w:tc>
          <w:tcPr>
            <w:tcW w:w="3703" w:type="dxa"/>
            <w:tcMar>
              <w:left w:w="45" w:type="dxa"/>
              <w:right w:w="45" w:type="dxa"/>
            </w:tcMar>
            <w:vAlign w:val="center"/>
          </w:tcPr>
          <w:p w14:paraId="25E0D932">
            <w:pPr>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爆炸品单独隔离、限量存储，使用、销毁按照公安部门的要求执行</w:t>
            </w:r>
          </w:p>
        </w:tc>
        <w:tc>
          <w:tcPr>
            <w:tcW w:w="7777" w:type="dxa"/>
            <w:tcMar>
              <w:left w:w="45" w:type="dxa"/>
              <w:right w:w="45" w:type="dxa"/>
            </w:tcMar>
            <w:vAlign w:val="center"/>
          </w:tcPr>
          <w:p w14:paraId="3DF92AF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（152）收存和发放民用爆炸物品必须进行登记，做到账目清楚，账物相符</w:t>
            </w:r>
          </w:p>
        </w:tc>
        <w:tc>
          <w:tcPr>
            <w:tcW w:w="2543" w:type="dxa"/>
            <w:tcMar>
              <w:left w:w="45" w:type="dxa"/>
              <w:right w:w="45" w:type="dxa"/>
            </w:tcMar>
            <w:vAlign w:val="center"/>
          </w:tcPr>
          <w:p w14:paraId="1AF2B488">
            <w:pPr>
              <w:widowControl/>
              <w:spacing w:line="300" w:lineRule="exact"/>
              <w:jc w:val="left"/>
              <w:rPr>
                <w:rFonts w:hint="default" w:ascii="Times New Roman" w:hAnsi="Times New Roman" w:eastAsia="仿宋_GB2312" w:cs="Times New Roman"/>
                <w:color w:val="auto"/>
                <w:kern w:val="0"/>
                <w:szCs w:val="21"/>
                <w:highlight w:val="none"/>
              </w:rPr>
            </w:pPr>
          </w:p>
        </w:tc>
      </w:tr>
      <w:tr w14:paraId="6EFF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FA6F26">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bCs/>
                <w:color w:val="auto"/>
                <w:kern w:val="0"/>
                <w:szCs w:val="21"/>
                <w:highlight w:val="none"/>
              </w:rPr>
              <w:t>9.6</w:t>
            </w:r>
          </w:p>
        </w:tc>
        <w:tc>
          <w:tcPr>
            <w:tcW w:w="14023" w:type="dxa"/>
            <w:gridSpan w:val="3"/>
            <w:tcMar>
              <w:left w:w="45" w:type="dxa"/>
              <w:right w:w="45" w:type="dxa"/>
            </w:tcMar>
            <w:vAlign w:val="center"/>
          </w:tcPr>
          <w:p w14:paraId="7F86BC9F">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实验气体管理</w:t>
            </w:r>
          </w:p>
        </w:tc>
      </w:tr>
      <w:tr w14:paraId="3212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547A2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9.6.1</w:t>
            </w:r>
          </w:p>
        </w:tc>
        <w:tc>
          <w:tcPr>
            <w:tcW w:w="3703" w:type="dxa"/>
            <w:tcMar>
              <w:left w:w="45" w:type="dxa"/>
              <w:right w:w="45" w:type="dxa"/>
            </w:tcMar>
            <w:vAlign w:val="center"/>
          </w:tcPr>
          <w:p w14:paraId="19DE990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从合格供应商处采购实验气体，建立气体（气瓶）台账</w:t>
            </w:r>
          </w:p>
        </w:tc>
        <w:tc>
          <w:tcPr>
            <w:tcW w:w="7777" w:type="dxa"/>
            <w:tcMar>
              <w:left w:w="45" w:type="dxa"/>
              <w:right w:w="45" w:type="dxa"/>
            </w:tcMar>
            <w:vAlign w:val="center"/>
          </w:tcPr>
          <w:p w14:paraId="329B8094">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（153）查看记录</w:t>
            </w:r>
          </w:p>
        </w:tc>
        <w:tc>
          <w:tcPr>
            <w:tcW w:w="2543" w:type="dxa"/>
            <w:tcMar>
              <w:left w:w="45" w:type="dxa"/>
              <w:right w:w="45" w:type="dxa"/>
            </w:tcMar>
            <w:vAlign w:val="center"/>
          </w:tcPr>
          <w:p w14:paraId="12A07E18">
            <w:pPr>
              <w:widowControl/>
              <w:spacing w:line="300" w:lineRule="exact"/>
              <w:rPr>
                <w:rFonts w:hint="default" w:ascii="Times New Roman" w:hAnsi="Times New Roman" w:eastAsia="仿宋_GB2312" w:cs="Times New Roman"/>
                <w:bCs/>
                <w:color w:val="auto"/>
                <w:kern w:val="0"/>
                <w:szCs w:val="21"/>
                <w:highlight w:val="none"/>
              </w:rPr>
            </w:pPr>
          </w:p>
        </w:tc>
      </w:tr>
      <w:tr w14:paraId="7729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B2EC7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9.6.2</w:t>
            </w:r>
          </w:p>
        </w:tc>
        <w:tc>
          <w:tcPr>
            <w:tcW w:w="3703" w:type="dxa"/>
            <w:tcMar>
              <w:left w:w="45" w:type="dxa"/>
              <w:right w:w="45" w:type="dxa"/>
            </w:tcMar>
            <w:vAlign w:val="center"/>
          </w:tcPr>
          <w:p w14:paraId="03262FE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气体（气瓶）的存放和使用符合相关要求</w:t>
            </w:r>
          </w:p>
        </w:tc>
        <w:tc>
          <w:tcPr>
            <w:tcW w:w="7777" w:type="dxa"/>
            <w:tcMar>
              <w:left w:w="45" w:type="dxa"/>
              <w:right w:w="45" w:type="dxa"/>
            </w:tcMar>
            <w:vAlign w:val="center"/>
          </w:tcPr>
          <w:p w14:paraId="6B078973">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（154）气体（气瓶）存放点须通风、远离热源、避免暴晒，地面平整干燥。</w:t>
            </w:r>
          </w:p>
          <w:p w14:paraId="1B310242">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（155）气瓶应合理固定。</w:t>
            </w:r>
          </w:p>
          <w:p w14:paraId="423063BC">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（156）危险气体气瓶尽量置于室外，室内放置应使用常时排风且带监测报警装置的气瓶柜。</w:t>
            </w:r>
          </w:p>
          <w:p w14:paraId="556F0142">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（157）气瓶的存放应控制在最小需求量。</w:t>
            </w:r>
          </w:p>
          <w:p w14:paraId="1E901247">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（158）</w:t>
            </w:r>
            <w:r>
              <w:rPr>
                <w:rFonts w:hint="default" w:ascii="Times New Roman" w:hAnsi="Times New Roman" w:eastAsia="仿宋_GB2312" w:cs="Times New Roman"/>
                <w:b/>
                <w:bCs/>
                <w:color w:val="auto"/>
                <w:kern w:val="0"/>
                <w:szCs w:val="21"/>
                <w:highlight w:val="none"/>
              </w:rPr>
              <w:t>涉及有毒、可燃气体的场所，配有通风设施和相应的气体监测和报警装置等，张贴必要的安全警示标志。</w:t>
            </w:r>
          </w:p>
          <w:p w14:paraId="1819E458">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（159）可燃性气体与氧气等助燃气体气瓶不得混放。</w:t>
            </w:r>
          </w:p>
          <w:p w14:paraId="3459C070">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（160）独立的气体气瓶室应通风、不混放、有监控，有专人管理和记录。</w:t>
            </w:r>
          </w:p>
          <w:p w14:paraId="72385290">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（161）有供应商提供的气瓶定期检验合格标识，无超过检验有效期的气瓶、无超过设计年限的气瓶。</w:t>
            </w:r>
          </w:p>
          <w:p w14:paraId="75C46242">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（162）气瓶颜色符合GB/T 7144《气瓶颜色标志》的规定，确认“满”“使用中”“空瓶”三种状态。</w:t>
            </w:r>
          </w:p>
          <w:p w14:paraId="09FA793D">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（163）使用完毕，应及时关闭气瓶总阀。</w:t>
            </w:r>
          </w:p>
          <w:p w14:paraId="6909C4FE">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（164）气瓶附件齐全</w:t>
            </w:r>
          </w:p>
        </w:tc>
        <w:tc>
          <w:tcPr>
            <w:tcW w:w="2543" w:type="dxa"/>
            <w:tcMar>
              <w:left w:w="45" w:type="dxa"/>
              <w:right w:w="45" w:type="dxa"/>
            </w:tcMar>
            <w:vAlign w:val="center"/>
          </w:tcPr>
          <w:p w14:paraId="36D72814">
            <w:pPr>
              <w:rPr>
                <w:rFonts w:hint="default" w:ascii="Times New Roman" w:hAnsi="Times New Roman" w:eastAsia="仿宋_GB2312" w:cs="Times New Roman"/>
                <w:color w:val="auto"/>
                <w:highlight w:val="none"/>
              </w:rPr>
            </w:pPr>
          </w:p>
        </w:tc>
      </w:tr>
      <w:tr w14:paraId="08BD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2E9E1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9.6.3</w:t>
            </w:r>
          </w:p>
        </w:tc>
        <w:tc>
          <w:tcPr>
            <w:tcW w:w="3703" w:type="dxa"/>
            <w:tcMar>
              <w:left w:w="45" w:type="dxa"/>
              <w:right w:w="45" w:type="dxa"/>
            </w:tcMar>
            <w:vAlign w:val="center"/>
          </w:tcPr>
          <w:p w14:paraId="5C742548">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highlight w:val="none"/>
              </w:rPr>
              <w:t>在较小密封空间使用可引起窒息的气体，须安装氧含量监测</w:t>
            </w:r>
            <w:r>
              <w:rPr>
                <w:rFonts w:hint="default" w:ascii="Times New Roman" w:hAnsi="Times New Roman" w:eastAsia="仿宋_GB2312" w:cs="Times New Roman"/>
                <w:color w:val="auto"/>
                <w:kern w:val="0"/>
                <w:szCs w:val="21"/>
                <w:highlight w:val="none"/>
              </w:rPr>
              <w:t>报警装置</w:t>
            </w:r>
          </w:p>
        </w:tc>
        <w:tc>
          <w:tcPr>
            <w:tcW w:w="7777" w:type="dxa"/>
            <w:tcMar>
              <w:left w:w="45" w:type="dxa"/>
              <w:right w:w="45" w:type="dxa"/>
            </w:tcMar>
            <w:vAlign w:val="center"/>
          </w:tcPr>
          <w:p w14:paraId="6EC73330">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（165）在存有大量无毒窒息性压缩气体或液化气体（液氮、液氩）的较小密闭空间，为</w:t>
            </w:r>
            <w:r>
              <w:rPr>
                <w:rFonts w:hint="default" w:ascii="Times New Roman" w:hAnsi="Times New Roman" w:eastAsia="仿宋_GB2312" w:cs="Times New Roman"/>
                <w:bCs/>
                <w:color w:val="auto"/>
                <w:kern w:val="0"/>
                <w:szCs w:val="21"/>
                <w:highlight w:val="none"/>
              </w:rPr>
              <w:t>防止气体大量泄漏或蒸发导致缺氧，</w:t>
            </w:r>
            <w:r>
              <w:rPr>
                <w:rFonts w:hint="default" w:ascii="Times New Roman" w:hAnsi="Times New Roman" w:eastAsia="仿宋_GB2312" w:cs="Times New Roman"/>
                <w:color w:val="auto"/>
                <w:szCs w:val="21"/>
                <w:highlight w:val="none"/>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highlight w:val="none"/>
                <w:vertAlign w:val="superscript"/>
              </w:rPr>
              <w:t>2</w:t>
            </w:r>
            <w:r>
              <w:rPr>
                <w:rFonts w:hint="default" w:ascii="Times New Roman" w:hAnsi="Times New Roman" w:eastAsia="仿宋_GB2312" w:cs="Times New Roman"/>
                <w:color w:val="auto"/>
                <w:szCs w:val="21"/>
                <w:highlight w:val="none"/>
              </w:rPr>
              <w:t>，层高2.6m时的临界面积为30 m</w:t>
            </w:r>
            <w:r>
              <w:rPr>
                <w:rFonts w:hint="default" w:ascii="Times New Roman" w:hAnsi="Times New Roman" w:eastAsia="仿宋_GB2312" w:cs="Times New Roman"/>
                <w:color w:val="auto"/>
                <w:szCs w:val="21"/>
                <w:highlight w:val="none"/>
                <w:vertAlign w:val="superscript"/>
              </w:rPr>
              <w:t>2</w:t>
            </w:r>
            <w:r>
              <w:rPr>
                <w:rFonts w:hint="default" w:ascii="Times New Roman" w:hAnsi="Times New Roman" w:eastAsia="仿宋_GB2312" w:cs="Times New Roman"/>
                <w:color w:val="auto"/>
                <w:szCs w:val="21"/>
                <w:highlight w:val="none"/>
              </w:rPr>
              <w:t>；实验室存放10L体积液氮（液态密度0.808 g·mL</w:t>
            </w:r>
            <w:r>
              <w:rPr>
                <w:rFonts w:hint="default" w:ascii="Times New Roman" w:hAnsi="Times New Roman" w:eastAsia="仿宋_GB2312" w:cs="Times New Roman"/>
                <w:color w:val="auto"/>
                <w:szCs w:val="21"/>
                <w:highlight w:val="none"/>
                <w:vertAlign w:val="superscript"/>
              </w:rPr>
              <w:t>–1</w:t>
            </w:r>
            <w:r>
              <w:rPr>
                <w:rFonts w:hint="default" w:ascii="Times New Roman" w:hAnsi="Times New Roman" w:eastAsia="仿宋_GB2312" w:cs="Times New Roman"/>
                <w:color w:val="auto"/>
                <w:szCs w:val="21"/>
                <w:highlight w:val="none"/>
              </w:rPr>
              <w:t>），实验室层高2.8m时的临界面积为30m</w:t>
            </w:r>
            <w:r>
              <w:rPr>
                <w:rFonts w:hint="default" w:ascii="Times New Roman" w:hAnsi="Times New Roman" w:eastAsia="仿宋_GB2312" w:cs="Times New Roman"/>
                <w:color w:val="auto"/>
                <w:szCs w:val="21"/>
                <w:highlight w:val="none"/>
                <w:vertAlign w:val="superscript"/>
              </w:rPr>
              <w:t>2</w:t>
            </w:r>
            <w:r>
              <w:rPr>
                <w:rFonts w:hint="default" w:ascii="Times New Roman" w:hAnsi="Times New Roman" w:eastAsia="仿宋_GB2312" w:cs="Times New Roman"/>
                <w:color w:val="auto"/>
                <w:szCs w:val="21"/>
                <w:highlight w:val="none"/>
              </w:rPr>
              <w:t>，层高2.6m时的临界面积为35 m</w:t>
            </w:r>
            <w:r>
              <w:rPr>
                <w:rFonts w:hint="default" w:ascii="Times New Roman" w:hAnsi="Times New Roman" w:eastAsia="仿宋_GB2312" w:cs="Times New Roman"/>
                <w:color w:val="auto"/>
                <w:szCs w:val="21"/>
                <w:highlight w:val="none"/>
                <w:vertAlign w:val="superscript"/>
              </w:rPr>
              <w:t>2</w:t>
            </w:r>
          </w:p>
        </w:tc>
        <w:tc>
          <w:tcPr>
            <w:tcW w:w="2543" w:type="dxa"/>
            <w:tcMar>
              <w:left w:w="45" w:type="dxa"/>
              <w:right w:w="45" w:type="dxa"/>
            </w:tcMar>
            <w:vAlign w:val="center"/>
          </w:tcPr>
          <w:p w14:paraId="6B03B830">
            <w:pPr>
              <w:widowControl/>
              <w:spacing w:line="300" w:lineRule="exact"/>
              <w:rPr>
                <w:rFonts w:hint="default" w:ascii="Times New Roman" w:hAnsi="Times New Roman" w:eastAsia="仿宋_GB2312" w:cs="Times New Roman"/>
                <w:bCs/>
                <w:color w:val="auto"/>
                <w:kern w:val="0"/>
                <w:szCs w:val="21"/>
                <w:highlight w:val="none"/>
              </w:rPr>
            </w:pPr>
          </w:p>
        </w:tc>
      </w:tr>
      <w:tr w14:paraId="2EF3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C9FE3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9.6.4</w:t>
            </w:r>
          </w:p>
        </w:tc>
        <w:tc>
          <w:tcPr>
            <w:tcW w:w="3703" w:type="dxa"/>
            <w:tcMar>
              <w:left w:w="45" w:type="dxa"/>
              <w:right w:w="45" w:type="dxa"/>
            </w:tcMar>
            <w:vAlign w:val="center"/>
          </w:tcPr>
          <w:p w14:paraId="0F2B5F5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气体管路和气瓶连接正确、有清晰的标识</w:t>
            </w:r>
          </w:p>
        </w:tc>
        <w:tc>
          <w:tcPr>
            <w:tcW w:w="7777" w:type="dxa"/>
            <w:tcMar>
              <w:left w:w="45" w:type="dxa"/>
              <w:right w:w="45" w:type="dxa"/>
            </w:tcMar>
            <w:vAlign w:val="center"/>
          </w:tcPr>
          <w:p w14:paraId="0DF5B679">
            <w:pPr>
              <w:widowControl/>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2665EAF8">
            <w:pPr>
              <w:widowControl/>
              <w:spacing w:line="300" w:lineRule="exact"/>
              <w:rPr>
                <w:rFonts w:hint="default" w:ascii="Times New Roman" w:hAnsi="Times New Roman" w:eastAsia="仿宋_GB2312" w:cs="Times New Roman"/>
                <w:bCs/>
                <w:color w:val="auto"/>
                <w:kern w:val="0"/>
                <w:szCs w:val="21"/>
                <w:highlight w:val="none"/>
              </w:rPr>
            </w:pPr>
          </w:p>
        </w:tc>
      </w:tr>
      <w:tr w14:paraId="1EE2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55E461">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9.7</w:t>
            </w:r>
          </w:p>
        </w:tc>
        <w:tc>
          <w:tcPr>
            <w:tcW w:w="14023" w:type="dxa"/>
            <w:gridSpan w:val="3"/>
            <w:tcMar>
              <w:left w:w="45" w:type="dxa"/>
              <w:right w:w="45" w:type="dxa"/>
            </w:tcMar>
            <w:vAlign w:val="center"/>
          </w:tcPr>
          <w:p w14:paraId="20274DDC">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实验室化学废弃物的收集、分类和转运</w:t>
            </w:r>
          </w:p>
        </w:tc>
      </w:tr>
      <w:tr w14:paraId="77C4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D24E5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9.7.1</w:t>
            </w:r>
          </w:p>
        </w:tc>
        <w:tc>
          <w:tcPr>
            <w:tcW w:w="3703" w:type="dxa"/>
            <w:tcMar>
              <w:left w:w="45" w:type="dxa"/>
              <w:right w:w="45" w:type="dxa"/>
            </w:tcMar>
            <w:vAlign w:val="center"/>
          </w:tcPr>
          <w:p w14:paraId="5A142CA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实验室应设立化学废弃物暂存区</w:t>
            </w:r>
          </w:p>
        </w:tc>
        <w:tc>
          <w:tcPr>
            <w:tcW w:w="7777" w:type="dxa"/>
            <w:tcMar>
              <w:left w:w="45" w:type="dxa"/>
              <w:right w:w="45" w:type="dxa"/>
            </w:tcMar>
            <w:vAlign w:val="center"/>
          </w:tcPr>
          <w:p w14:paraId="53011233">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（167）暂存区应远离火源、热源和不相容物质，避免日晒、雨淋，存放两种及以上不相容的实验室危险废物时，应分不同区域。</w:t>
            </w:r>
          </w:p>
          <w:p w14:paraId="6B241613">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（168）暂存区应有警示标志并有防遗洒、防渗漏设施或措施</w:t>
            </w:r>
          </w:p>
        </w:tc>
        <w:tc>
          <w:tcPr>
            <w:tcW w:w="2543" w:type="dxa"/>
            <w:tcMar>
              <w:left w:w="45" w:type="dxa"/>
              <w:right w:w="45" w:type="dxa"/>
            </w:tcMar>
            <w:vAlign w:val="center"/>
          </w:tcPr>
          <w:p w14:paraId="626FD827">
            <w:pPr>
              <w:widowControl/>
              <w:spacing w:line="300" w:lineRule="exact"/>
              <w:rPr>
                <w:rFonts w:hint="default" w:ascii="Times New Roman" w:hAnsi="Times New Roman" w:eastAsia="仿宋_GB2312" w:cs="Times New Roman"/>
                <w:bCs/>
                <w:color w:val="auto"/>
                <w:kern w:val="0"/>
                <w:szCs w:val="21"/>
                <w:highlight w:val="none"/>
              </w:rPr>
            </w:pPr>
          </w:p>
        </w:tc>
      </w:tr>
      <w:tr w14:paraId="1A8D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750A6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9.7.2</w:t>
            </w:r>
          </w:p>
        </w:tc>
        <w:tc>
          <w:tcPr>
            <w:tcW w:w="3703" w:type="dxa"/>
            <w:tcMar>
              <w:left w:w="45" w:type="dxa"/>
              <w:right w:w="45" w:type="dxa"/>
            </w:tcMar>
            <w:vAlign w:val="center"/>
          </w:tcPr>
          <w:p w14:paraId="4E1D53D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实验室内须规范收集化学废弃物</w:t>
            </w:r>
          </w:p>
        </w:tc>
        <w:tc>
          <w:tcPr>
            <w:tcW w:w="7777" w:type="dxa"/>
            <w:tcMar>
              <w:left w:w="45" w:type="dxa"/>
              <w:right w:w="45" w:type="dxa"/>
            </w:tcMar>
            <w:vAlign w:val="center"/>
          </w:tcPr>
          <w:p w14:paraId="5626E01C">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（169）危险废物应按化学特性和危险特性，进行分类收集和暂存，通常条件下不稳定物质必须稳定化处理后才能进入危废处理流程。</w:t>
            </w:r>
          </w:p>
          <w:p w14:paraId="2C706D10">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（170）废弃的化学试剂应存放在原试剂瓶中，保留原标签，且瓶口朝上放入专用固废箱中。</w:t>
            </w:r>
          </w:p>
          <w:p w14:paraId="7014BEF3">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（171）针头等利器须放入利器盒中收集。</w:t>
            </w:r>
          </w:p>
          <w:p w14:paraId="66EE5CB2">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（172）废液应分类装入专用废液桶中，液面不超过容量的3/4。废液桶须满足耐腐蚀、抗溶剂、耐挤压、抗冲击的要求。</w:t>
            </w:r>
          </w:p>
          <w:p w14:paraId="61671292">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（173）实验室危险废物收集容器上应粘贴危险废物信息标签、警示标识。</w:t>
            </w:r>
          </w:p>
          <w:p w14:paraId="4A40592F">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（174）严禁将实验室危险废物直接排入下水道，严禁与生活垃圾、感染性废物或放射性废物等混装</w:t>
            </w:r>
          </w:p>
        </w:tc>
        <w:tc>
          <w:tcPr>
            <w:tcW w:w="2543" w:type="dxa"/>
            <w:tcMar>
              <w:left w:w="45" w:type="dxa"/>
              <w:right w:w="45" w:type="dxa"/>
            </w:tcMar>
            <w:vAlign w:val="center"/>
          </w:tcPr>
          <w:p w14:paraId="21AA3A5D">
            <w:pPr>
              <w:widowControl/>
              <w:spacing w:line="300" w:lineRule="exact"/>
              <w:rPr>
                <w:rFonts w:hint="default" w:ascii="Times New Roman" w:hAnsi="Times New Roman" w:eastAsia="仿宋_GB2312" w:cs="Times New Roman"/>
                <w:bCs/>
                <w:color w:val="auto"/>
                <w:kern w:val="0"/>
                <w:szCs w:val="21"/>
                <w:highlight w:val="none"/>
              </w:rPr>
            </w:pPr>
          </w:p>
        </w:tc>
      </w:tr>
      <w:tr w14:paraId="457E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7A42F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9.7.3</w:t>
            </w:r>
          </w:p>
        </w:tc>
        <w:tc>
          <w:tcPr>
            <w:tcW w:w="3703" w:type="dxa"/>
            <w:tcMar>
              <w:left w:w="45" w:type="dxa"/>
              <w:right w:w="45" w:type="dxa"/>
            </w:tcMar>
            <w:vAlign w:val="center"/>
          </w:tcPr>
          <w:p w14:paraId="43670E6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学校应建设化学废弃物贮存站并规范管理</w:t>
            </w:r>
          </w:p>
        </w:tc>
        <w:tc>
          <w:tcPr>
            <w:tcW w:w="7777" w:type="dxa"/>
            <w:tcMar>
              <w:left w:w="45" w:type="dxa"/>
              <w:right w:w="45" w:type="dxa"/>
            </w:tcMar>
            <w:vAlign w:val="center"/>
          </w:tcPr>
          <w:p w14:paraId="639FC8F3">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highlight w:val="none"/>
                <w:vertAlign w:val="superscript"/>
              </w:rPr>
              <w:t>2</w:t>
            </w:r>
            <w:r>
              <w:rPr>
                <w:rFonts w:hint="default" w:ascii="Times New Roman" w:hAnsi="Times New Roman" w:eastAsia="仿宋_GB2312" w:cs="Times New Roman"/>
                <w:color w:val="auto"/>
                <w:kern w:val="0"/>
                <w:szCs w:val="21"/>
                <w:highlight w:val="none"/>
              </w:rPr>
              <w:t>、高应不大于3m（尺寸误差应不大于10%），并在通风口处设置防火阀，公称动作温度为70</w:t>
            </w:r>
            <w:r>
              <w:rPr>
                <w:rFonts w:hint="default" w:ascii="Times New Roman" w:hAnsi="Times New Roman" w:eastAsia="仿宋_GB2312" w:cs="Times New Roman"/>
                <w:color w:val="auto"/>
                <w:sz w:val="24"/>
                <w:highlight w:val="none"/>
              </w:rPr>
              <w:t>°C</w:t>
            </w:r>
            <w:r>
              <w:rPr>
                <w:rFonts w:hint="default" w:ascii="Times New Roman" w:hAnsi="Times New Roman" w:eastAsia="仿宋_GB2312" w:cs="Times New Roman"/>
                <w:color w:val="auto"/>
                <w:kern w:val="0"/>
                <w:szCs w:val="21"/>
                <w:highlight w:val="none"/>
              </w:rPr>
              <w:t>。</w:t>
            </w:r>
          </w:p>
          <w:p w14:paraId="03ECFC15">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（176）贮存站应有具体的管理办法并将贮存站安全运行、实验室危险废物出站转运等日常管理工作落实到相关人员的岗位职责中。</w:t>
            </w:r>
          </w:p>
          <w:p w14:paraId="358F5106">
            <w:pPr>
              <w:widowControl/>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（177）制定意外事故的防范措施和应急预案</w:t>
            </w:r>
            <w:r>
              <w:rPr>
                <w:rFonts w:hint="default" w:ascii="Times New Roman" w:hAnsi="Times New Roman" w:eastAsia="仿宋_GB2312" w:cs="Times New Roman"/>
                <w:color w:val="auto"/>
                <w:kern w:val="0"/>
                <w:szCs w:val="21"/>
                <w:highlight w:val="none"/>
              </w:rPr>
              <w:t>，并向所在地生态环境主管部门</w:t>
            </w:r>
            <w:r>
              <w:rPr>
                <w:rFonts w:hint="default" w:ascii="Times New Roman" w:hAnsi="Times New Roman" w:eastAsia="仿宋_GB2312" w:cs="Times New Roman"/>
                <w:bCs/>
                <w:color w:val="auto"/>
                <w:kern w:val="0"/>
                <w:szCs w:val="21"/>
                <w:highlight w:val="none"/>
              </w:rPr>
              <w:t>备案</w:t>
            </w:r>
          </w:p>
        </w:tc>
        <w:tc>
          <w:tcPr>
            <w:tcW w:w="2543" w:type="dxa"/>
            <w:tcMar>
              <w:left w:w="45" w:type="dxa"/>
              <w:right w:w="45" w:type="dxa"/>
            </w:tcMar>
            <w:vAlign w:val="center"/>
          </w:tcPr>
          <w:p w14:paraId="56243124">
            <w:pPr>
              <w:widowControl/>
              <w:spacing w:line="300" w:lineRule="exact"/>
              <w:rPr>
                <w:rFonts w:hint="default" w:ascii="Times New Roman" w:hAnsi="Times New Roman" w:eastAsia="仿宋_GB2312" w:cs="Times New Roman"/>
                <w:bCs/>
                <w:color w:val="auto"/>
                <w:kern w:val="0"/>
                <w:szCs w:val="21"/>
                <w:highlight w:val="none"/>
              </w:rPr>
            </w:pPr>
          </w:p>
        </w:tc>
      </w:tr>
      <w:tr w14:paraId="4235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456C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9.7.4</w:t>
            </w:r>
          </w:p>
        </w:tc>
        <w:tc>
          <w:tcPr>
            <w:tcW w:w="3703" w:type="dxa"/>
            <w:tcMar>
              <w:left w:w="45" w:type="dxa"/>
              <w:right w:w="45" w:type="dxa"/>
            </w:tcMar>
            <w:vAlign w:val="center"/>
          </w:tcPr>
          <w:p w14:paraId="54923FD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化学废弃物的转运须合规</w:t>
            </w:r>
          </w:p>
        </w:tc>
        <w:tc>
          <w:tcPr>
            <w:tcW w:w="7777" w:type="dxa"/>
            <w:tcMar>
              <w:left w:w="45" w:type="dxa"/>
              <w:right w:w="45" w:type="dxa"/>
            </w:tcMar>
            <w:vAlign w:val="center"/>
          </w:tcPr>
          <w:p w14:paraId="09A85814">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（178）委托有危险废物处置资质的专业厂家集中处置化学废弃物，并查看协议。</w:t>
            </w:r>
          </w:p>
          <w:p w14:paraId="1A47AE7E">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（179）</w:t>
            </w:r>
            <w:r>
              <w:rPr>
                <w:rFonts w:hint="default" w:ascii="Times New Roman" w:hAnsi="Times New Roman" w:eastAsia="仿宋_GB2312" w:cs="Times New Roman"/>
                <w:bCs/>
                <w:color w:val="auto"/>
                <w:kern w:val="0"/>
                <w:szCs w:val="21"/>
                <w:highlight w:val="none"/>
              </w:rPr>
              <w:t>建立危险废物管理台账</w:t>
            </w:r>
            <w:r>
              <w:rPr>
                <w:rFonts w:hint="default" w:ascii="Times New Roman" w:hAnsi="Times New Roman" w:eastAsia="仿宋_GB2312" w:cs="Times New Roman"/>
                <w:color w:val="auto"/>
                <w:kern w:val="0"/>
                <w:szCs w:val="21"/>
                <w:highlight w:val="none"/>
              </w:rPr>
              <w:t>，如实记录有关信息，包括种类、产生量、流向、贮存、处置等有关资料。</w:t>
            </w:r>
          </w:p>
          <w:p w14:paraId="4AFDC63B">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（180）校外转运之前，贮存站必须妥善管理实验室危险废物，采取有效措施，防止废物的扬散、流失、渗漏或造成其他环境污染。</w:t>
            </w:r>
          </w:p>
          <w:p w14:paraId="04AA9097">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（181）转运人员应使用专用运输工具，运输前根据运输废物的危险特性，应携带必要的应急物资和个体防护用具，如收集工具、手套、口罩等。</w:t>
            </w:r>
          </w:p>
          <w:p w14:paraId="1E79AB74">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3CB33644">
            <w:pPr>
              <w:widowControl/>
              <w:spacing w:line="300" w:lineRule="exact"/>
              <w:rPr>
                <w:rFonts w:hint="default" w:ascii="Times New Roman" w:hAnsi="Times New Roman" w:eastAsia="仿宋_GB2312" w:cs="Times New Roman"/>
                <w:bCs/>
                <w:color w:val="auto"/>
                <w:kern w:val="0"/>
                <w:szCs w:val="21"/>
                <w:highlight w:val="none"/>
              </w:rPr>
            </w:pPr>
          </w:p>
        </w:tc>
      </w:tr>
      <w:tr w14:paraId="0D60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509C87">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10</w:t>
            </w:r>
          </w:p>
        </w:tc>
        <w:tc>
          <w:tcPr>
            <w:tcW w:w="14023" w:type="dxa"/>
            <w:gridSpan w:val="3"/>
            <w:tcMar>
              <w:left w:w="45" w:type="dxa"/>
              <w:right w:w="45" w:type="dxa"/>
            </w:tcMar>
            <w:vAlign w:val="center"/>
          </w:tcPr>
          <w:p w14:paraId="15919726">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生物安全</w:t>
            </w:r>
          </w:p>
        </w:tc>
      </w:tr>
      <w:tr w14:paraId="3239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57338">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10.1</w:t>
            </w:r>
          </w:p>
        </w:tc>
        <w:tc>
          <w:tcPr>
            <w:tcW w:w="14023" w:type="dxa"/>
            <w:gridSpan w:val="3"/>
            <w:tcMar>
              <w:left w:w="45" w:type="dxa"/>
              <w:right w:w="45" w:type="dxa"/>
            </w:tcMar>
            <w:vAlign w:val="center"/>
          </w:tcPr>
          <w:p w14:paraId="05F20F14">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实验室生物安全等级</w:t>
            </w:r>
          </w:p>
        </w:tc>
      </w:tr>
      <w:tr w14:paraId="00C9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0DEB5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10.1.1</w:t>
            </w:r>
          </w:p>
        </w:tc>
        <w:tc>
          <w:tcPr>
            <w:tcW w:w="3703" w:type="dxa"/>
            <w:tcMar>
              <w:left w:w="45" w:type="dxa"/>
              <w:right w:w="45" w:type="dxa"/>
            </w:tcMar>
            <w:vAlign w:val="center"/>
          </w:tcPr>
          <w:p w14:paraId="350A684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开展病原微生物实验教学科研的实验室，须具备相应的安全等级资质</w:t>
            </w:r>
          </w:p>
        </w:tc>
        <w:tc>
          <w:tcPr>
            <w:tcW w:w="7777" w:type="dxa"/>
            <w:tcMar>
              <w:left w:w="45" w:type="dxa"/>
              <w:right w:w="45" w:type="dxa"/>
            </w:tcMar>
            <w:vAlign w:val="center"/>
          </w:tcPr>
          <w:p w14:paraId="6B4F7FC6">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（183）</w:t>
            </w:r>
            <w:r>
              <w:rPr>
                <w:rFonts w:hint="default" w:ascii="Times New Roman" w:hAnsi="Times New Roman" w:eastAsia="仿宋_GB2312" w:cs="Times New Roman"/>
                <w:b/>
                <w:bCs w:val="0"/>
                <w:color w:val="auto"/>
                <w:kern w:val="0"/>
                <w:szCs w:val="21"/>
                <w:highlight w:val="none"/>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highlight w:val="none"/>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63E5C52A">
            <w:pPr>
              <w:widowControl/>
              <w:spacing w:line="300" w:lineRule="exact"/>
              <w:rPr>
                <w:rFonts w:hint="default" w:ascii="Times New Roman" w:hAnsi="Times New Roman" w:eastAsia="仿宋_GB2312" w:cs="Times New Roman"/>
                <w:b/>
                <w:bCs/>
                <w:color w:val="auto"/>
                <w:kern w:val="0"/>
                <w:szCs w:val="21"/>
                <w:highlight w:val="none"/>
              </w:rPr>
            </w:pPr>
          </w:p>
        </w:tc>
      </w:tr>
      <w:tr w14:paraId="6956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FF04D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10.1.2</w:t>
            </w:r>
          </w:p>
        </w:tc>
        <w:tc>
          <w:tcPr>
            <w:tcW w:w="3703" w:type="dxa"/>
            <w:tcMar>
              <w:left w:w="45" w:type="dxa"/>
              <w:right w:w="45" w:type="dxa"/>
            </w:tcMar>
            <w:vAlign w:val="center"/>
          </w:tcPr>
          <w:p w14:paraId="4A6A001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在相应等级的实验室开展涉及致病性生物因子的实验活动</w:t>
            </w:r>
          </w:p>
          <w:p w14:paraId="5F91DF3F">
            <w:pPr>
              <w:widowControl/>
              <w:spacing w:line="300" w:lineRule="exact"/>
              <w:rPr>
                <w:rFonts w:hint="default" w:ascii="Times New Roman" w:hAnsi="Times New Roman" w:eastAsia="仿宋_GB2312" w:cs="Times New Roman"/>
                <w:color w:val="auto"/>
                <w:kern w:val="0"/>
                <w:szCs w:val="21"/>
                <w:highlight w:val="none"/>
              </w:rPr>
            </w:pPr>
          </w:p>
        </w:tc>
        <w:tc>
          <w:tcPr>
            <w:tcW w:w="7777" w:type="dxa"/>
            <w:tcMar>
              <w:left w:w="45" w:type="dxa"/>
              <w:right w:w="45" w:type="dxa"/>
            </w:tcMar>
            <w:vAlign w:val="center"/>
          </w:tcPr>
          <w:p w14:paraId="7A2E67DF">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szCs w:val="21"/>
                <w:highlight w:val="none"/>
              </w:rPr>
              <w:t>（184）以国家法律、法规、标准、规范，以及权威机构发布的指南、数据等为依据</w:t>
            </w:r>
            <w:r>
              <w:rPr>
                <w:rFonts w:hint="default" w:ascii="Times New Roman" w:hAnsi="Times New Roman" w:eastAsia="仿宋_GB2312" w:cs="Times New Roman"/>
                <w:color w:val="auto"/>
                <w:kern w:val="0"/>
                <w:szCs w:val="21"/>
                <w:highlight w:val="none"/>
              </w:rPr>
              <w:t>，对涉及的致病性生物因子进行风险评估，实验室生物安全级别不低于国家发布的病原微生物目录要求</w:t>
            </w:r>
          </w:p>
        </w:tc>
        <w:tc>
          <w:tcPr>
            <w:tcW w:w="2543" w:type="dxa"/>
            <w:tcMar>
              <w:left w:w="45" w:type="dxa"/>
              <w:right w:w="45" w:type="dxa"/>
            </w:tcMar>
            <w:vAlign w:val="center"/>
          </w:tcPr>
          <w:p w14:paraId="6153DD1B">
            <w:pPr>
              <w:widowControl/>
              <w:spacing w:line="300" w:lineRule="exact"/>
              <w:rPr>
                <w:rFonts w:hint="default" w:ascii="Times New Roman" w:hAnsi="Times New Roman" w:eastAsia="仿宋_GB2312" w:cs="Times New Roman"/>
                <w:b/>
                <w:bCs/>
                <w:color w:val="auto"/>
                <w:kern w:val="0"/>
                <w:szCs w:val="21"/>
                <w:highlight w:val="none"/>
              </w:rPr>
            </w:pPr>
          </w:p>
        </w:tc>
      </w:tr>
      <w:tr w14:paraId="4070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2846DF">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10.2</w:t>
            </w:r>
          </w:p>
        </w:tc>
        <w:tc>
          <w:tcPr>
            <w:tcW w:w="14023" w:type="dxa"/>
            <w:gridSpan w:val="3"/>
            <w:tcMar>
              <w:left w:w="45" w:type="dxa"/>
              <w:right w:w="45" w:type="dxa"/>
            </w:tcMar>
            <w:vAlign w:val="center"/>
          </w:tcPr>
          <w:p w14:paraId="7D339F37">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场所与设施</w:t>
            </w:r>
          </w:p>
        </w:tc>
      </w:tr>
      <w:tr w14:paraId="1338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0C8CB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10.2.1</w:t>
            </w:r>
          </w:p>
        </w:tc>
        <w:tc>
          <w:tcPr>
            <w:tcW w:w="3703" w:type="dxa"/>
            <w:tcMar>
              <w:left w:w="45" w:type="dxa"/>
              <w:right w:w="45" w:type="dxa"/>
            </w:tcMar>
            <w:vAlign w:val="center"/>
          </w:tcPr>
          <w:p w14:paraId="6D7DF4B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实验室安全防范设施达到相应生物安全实验室要求，各区域分布合理、气压符合要求</w:t>
            </w:r>
          </w:p>
        </w:tc>
        <w:tc>
          <w:tcPr>
            <w:tcW w:w="7777" w:type="dxa"/>
            <w:tcMar>
              <w:left w:w="45" w:type="dxa"/>
              <w:right w:w="45" w:type="dxa"/>
            </w:tcMar>
            <w:vAlign w:val="center"/>
          </w:tcPr>
          <w:p w14:paraId="14229E00">
            <w:pPr>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（185）</w:t>
            </w:r>
            <w:r>
              <w:rPr>
                <w:rFonts w:hint="default" w:ascii="Times New Roman" w:hAnsi="Times New Roman" w:eastAsia="仿宋_GB2312" w:cs="Times New Roman"/>
                <w:b/>
                <w:bCs/>
                <w:color w:val="auto"/>
                <w:kern w:val="0"/>
                <w:szCs w:val="21"/>
                <w:highlight w:val="none"/>
              </w:rPr>
              <w:t>实验室须设门禁管理和准入制度，储存病原微生物的场所或储柜配备防盗设施</w:t>
            </w:r>
            <w:r>
              <w:rPr>
                <w:rFonts w:hint="default" w:ascii="Times New Roman" w:hAnsi="Times New Roman" w:eastAsia="仿宋_GB2312" w:cs="Times New Roman"/>
                <w:color w:val="auto"/>
                <w:kern w:val="0"/>
                <w:szCs w:val="21"/>
                <w:highlight w:val="none"/>
              </w:rPr>
              <w:t>，</w:t>
            </w:r>
            <w:r>
              <w:rPr>
                <w:rFonts w:hint="default" w:ascii="Times New Roman" w:hAnsi="Times New Roman" w:eastAsia="仿宋_GB2312" w:cs="Times New Roman"/>
                <w:color w:val="auto"/>
                <w:kern w:val="0"/>
                <w:highlight w:val="none"/>
              </w:rPr>
              <w:t>BSL-3/ABSL-3及以上安全等级实验室须</w:t>
            </w:r>
            <w:r>
              <w:rPr>
                <w:rFonts w:hint="default" w:ascii="Times New Roman" w:hAnsi="Times New Roman" w:eastAsia="仿宋_GB2312" w:cs="Times New Roman"/>
                <w:color w:val="auto"/>
                <w:kern w:val="0"/>
                <w:szCs w:val="21"/>
                <w:highlight w:val="none"/>
              </w:rPr>
              <w:t>安装监控报警装置</w:t>
            </w:r>
          </w:p>
        </w:tc>
        <w:tc>
          <w:tcPr>
            <w:tcW w:w="2543" w:type="dxa"/>
            <w:tcMar>
              <w:left w:w="45" w:type="dxa"/>
              <w:right w:w="45" w:type="dxa"/>
            </w:tcMar>
            <w:vAlign w:val="center"/>
          </w:tcPr>
          <w:p w14:paraId="0F14276A">
            <w:pPr>
              <w:pStyle w:val="55"/>
              <w:spacing w:line="360" w:lineRule="auto"/>
              <w:ind w:firstLine="0" w:firstLineChars="0"/>
              <w:rPr>
                <w:rFonts w:hint="default" w:ascii="Times New Roman" w:hAnsi="Times New Roman" w:eastAsia="仿宋_GB2312" w:cs="Times New Roman"/>
                <w:b/>
                <w:bCs/>
                <w:color w:val="auto"/>
                <w:kern w:val="0"/>
                <w:highlight w:val="none"/>
              </w:rPr>
            </w:pPr>
          </w:p>
        </w:tc>
      </w:tr>
      <w:tr w14:paraId="6C20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9A8F5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10.2.2</w:t>
            </w:r>
          </w:p>
        </w:tc>
        <w:tc>
          <w:tcPr>
            <w:tcW w:w="3703" w:type="dxa"/>
            <w:tcMar>
              <w:left w:w="45" w:type="dxa"/>
              <w:right w:w="45" w:type="dxa"/>
            </w:tcMar>
            <w:vAlign w:val="center"/>
          </w:tcPr>
          <w:p w14:paraId="727950B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配有符合相应要求的生物安全设施</w:t>
            </w:r>
          </w:p>
        </w:tc>
        <w:tc>
          <w:tcPr>
            <w:tcW w:w="7777" w:type="dxa"/>
            <w:tcMar>
              <w:left w:w="45" w:type="dxa"/>
              <w:right w:w="45" w:type="dxa"/>
            </w:tcMar>
            <w:vAlign w:val="center"/>
          </w:tcPr>
          <w:p w14:paraId="3319ABEF">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highlight w:val="none"/>
              </w:rPr>
              <w:t>B型生物安全柜不能破坏实验室的整体气流组织。</w:t>
            </w:r>
          </w:p>
          <w:p w14:paraId="7AE5BF9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（187）病原微生物实验室应有可靠和充足的电力供应，配备适用的消防器材、洗眼装置和必要的应急喷淋。</w:t>
            </w:r>
          </w:p>
          <w:p w14:paraId="5AF521C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091CF801">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（189）生物安全实验室配有压力蒸汽灭菌器，按规定要求监测灭菌效果</w:t>
            </w:r>
          </w:p>
        </w:tc>
        <w:tc>
          <w:tcPr>
            <w:tcW w:w="2543" w:type="dxa"/>
            <w:tcMar>
              <w:left w:w="45" w:type="dxa"/>
              <w:right w:w="45" w:type="dxa"/>
            </w:tcMar>
            <w:vAlign w:val="center"/>
          </w:tcPr>
          <w:p w14:paraId="376300C0">
            <w:pPr>
              <w:widowControl/>
              <w:spacing w:line="300" w:lineRule="exact"/>
              <w:rPr>
                <w:rFonts w:hint="default" w:ascii="Times New Roman" w:hAnsi="Times New Roman" w:eastAsia="仿宋_GB2312" w:cs="Times New Roman"/>
                <w:b/>
                <w:bCs/>
                <w:color w:val="auto"/>
                <w:kern w:val="0"/>
                <w:highlight w:val="none"/>
              </w:rPr>
            </w:pPr>
          </w:p>
        </w:tc>
      </w:tr>
      <w:tr w14:paraId="4C47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3579E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10.2.3</w:t>
            </w:r>
          </w:p>
        </w:tc>
        <w:tc>
          <w:tcPr>
            <w:tcW w:w="3703" w:type="dxa"/>
            <w:tcMar>
              <w:left w:w="45" w:type="dxa"/>
              <w:right w:w="45" w:type="dxa"/>
            </w:tcMar>
            <w:vAlign w:val="center"/>
          </w:tcPr>
          <w:p w14:paraId="3093452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保证消毒和灭菌效果，并注意人员安全</w:t>
            </w:r>
          </w:p>
        </w:tc>
        <w:tc>
          <w:tcPr>
            <w:tcW w:w="7777" w:type="dxa"/>
            <w:tcMar>
              <w:left w:w="45" w:type="dxa"/>
              <w:right w:w="45" w:type="dxa"/>
            </w:tcMar>
            <w:vAlign w:val="center"/>
          </w:tcPr>
          <w:p w14:paraId="1CD0AAA8">
            <w:pPr>
              <w:widowControl/>
              <w:spacing w:line="300" w:lineRule="exact"/>
              <w:rPr>
                <w:rFonts w:hint="eastAsia" w:ascii="Times New Roman" w:hAnsi="Times New Roman" w:eastAsia="仿宋_GB2312" w:cs="Times New Roman"/>
                <w:color w:val="auto"/>
                <w:kern w:val="0"/>
                <w:szCs w:val="21"/>
                <w:highlight w:val="none"/>
                <w:lang w:eastAsia="zh-CN"/>
              </w:rPr>
            </w:pPr>
            <w:r>
              <w:rPr>
                <w:rFonts w:hint="default" w:ascii="Times New Roman" w:hAnsi="Times New Roman" w:eastAsia="仿宋_GB2312" w:cs="Times New Roman"/>
                <w:color w:val="auto"/>
                <w:kern w:val="0"/>
                <w:szCs w:val="21"/>
                <w:highlight w:val="none"/>
              </w:rPr>
              <w:t>（190）有消毒灭菌制度，根据不同病原微生物选择适宜的消毒灭菌方法</w:t>
            </w:r>
            <w:r>
              <w:rPr>
                <w:rFonts w:hint="eastAsia" w:eastAsia="仿宋_GB2312" w:cs="Times New Roman"/>
                <w:color w:val="auto"/>
                <w:kern w:val="0"/>
                <w:szCs w:val="21"/>
                <w:highlight w:val="none"/>
                <w:lang w:eastAsia="zh-CN"/>
              </w:rPr>
              <w:t>。</w:t>
            </w:r>
          </w:p>
          <w:p w14:paraId="1ECFB4F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215EC8BE">
            <w:pPr>
              <w:pStyle w:val="6"/>
              <w:jc w:val="both"/>
              <w:rPr>
                <w:rFonts w:hint="default" w:ascii="Times New Roman" w:hAnsi="Times New Roman" w:eastAsia="仿宋_GB2312" w:cs="Times New Roman"/>
                <w:color w:val="auto"/>
                <w:highlight w:val="none"/>
              </w:rPr>
            </w:pPr>
          </w:p>
        </w:tc>
      </w:tr>
      <w:tr w14:paraId="2B57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5F0542">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10.3</w:t>
            </w:r>
          </w:p>
        </w:tc>
        <w:tc>
          <w:tcPr>
            <w:tcW w:w="14023" w:type="dxa"/>
            <w:gridSpan w:val="3"/>
            <w:tcMar>
              <w:left w:w="45" w:type="dxa"/>
              <w:right w:w="45" w:type="dxa"/>
            </w:tcMar>
            <w:vAlign w:val="center"/>
          </w:tcPr>
          <w:p w14:paraId="4159C13E">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b/>
                <w:bCs/>
                <w:color w:val="auto"/>
                <w:kern w:val="0"/>
                <w:szCs w:val="21"/>
                <w:highlight w:val="none"/>
              </w:rPr>
              <w:t>病原微生物获取与保管</w:t>
            </w:r>
          </w:p>
        </w:tc>
      </w:tr>
      <w:tr w14:paraId="0F10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A15C6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10.3.1</w:t>
            </w:r>
          </w:p>
        </w:tc>
        <w:tc>
          <w:tcPr>
            <w:tcW w:w="3703" w:type="dxa"/>
            <w:tcMar>
              <w:left w:w="45" w:type="dxa"/>
              <w:right w:w="45" w:type="dxa"/>
            </w:tcMar>
            <w:vAlign w:val="center"/>
          </w:tcPr>
          <w:p w14:paraId="4262262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使用高致病性病原微生物菌（毒）种，须办理相应申请和报批手续</w:t>
            </w:r>
          </w:p>
        </w:tc>
        <w:tc>
          <w:tcPr>
            <w:tcW w:w="7777" w:type="dxa"/>
            <w:tcMar>
              <w:left w:w="45" w:type="dxa"/>
              <w:right w:w="45" w:type="dxa"/>
            </w:tcMar>
            <w:vAlign w:val="center"/>
          </w:tcPr>
          <w:p w14:paraId="4A5E2DA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（192）合规获取病原微生物菌（毒）株，学校应有审批流程。</w:t>
            </w:r>
          </w:p>
          <w:p w14:paraId="1A0A8C8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21BDF29C">
            <w:pPr>
              <w:widowControl/>
              <w:spacing w:line="300" w:lineRule="exact"/>
              <w:rPr>
                <w:rFonts w:hint="default" w:ascii="Times New Roman" w:hAnsi="Times New Roman" w:eastAsia="仿宋_GB2312" w:cs="Times New Roman"/>
                <w:color w:val="auto"/>
                <w:kern w:val="0"/>
                <w:szCs w:val="21"/>
                <w:highlight w:val="none"/>
              </w:rPr>
            </w:pPr>
          </w:p>
        </w:tc>
      </w:tr>
      <w:tr w14:paraId="175E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BF0BC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10.3.2</w:t>
            </w:r>
          </w:p>
        </w:tc>
        <w:tc>
          <w:tcPr>
            <w:tcW w:w="3703" w:type="dxa"/>
            <w:tcMar>
              <w:left w:w="45" w:type="dxa"/>
              <w:right w:w="45" w:type="dxa"/>
            </w:tcMar>
            <w:vAlign w:val="center"/>
          </w:tcPr>
          <w:p w14:paraId="5134B4A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高致病性病原微生物菌（毒）种应妥善保存和严格管理</w:t>
            </w:r>
          </w:p>
        </w:tc>
        <w:tc>
          <w:tcPr>
            <w:tcW w:w="7777" w:type="dxa"/>
            <w:tcMar>
              <w:left w:w="45" w:type="dxa"/>
              <w:right w:w="45" w:type="dxa"/>
            </w:tcMar>
            <w:vAlign w:val="center"/>
          </w:tcPr>
          <w:p w14:paraId="6E043EB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33E5F115">
            <w:pPr>
              <w:widowControl/>
              <w:spacing w:line="300" w:lineRule="exact"/>
              <w:rPr>
                <w:rFonts w:hint="default" w:ascii="Times New Roman" w:hAnsi="Times New Roman" w:eastAsia="仿宋_GB2312" w:cs="Times New Roman"/>
                <w:bCs/>
                <w:color w:val="auto"/>
                <w:kern w:val="0"/>
                <w:szCs w:val="21"/>
                <w:highlight w:val="none"/>
              </w:rPr>
            </w:pPr>
          </w:p>
        </w:tc>
      </w:tr>
      <w:tr w14:paraId="0024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46170D">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10.4</w:t>
            </w:r>
          </w:p>
        </w:tc>
        <w:tc>
          <w:tcPr>
            <w:tcW w:w="14023" w:type="dxa"/>
            <w:gridSpan w:val="3"/>
            <w:tcMar>
              <w:left w:w="45" w:type="dxa"/>
              <w:right w:w="45" w:type="dxa"/>
            </w:tcMar>
            <w:vAlign w:val="center"/>
          </w:tcPr>
          <w:p w14:paraId="24EF01CD">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人员管理</w:t>
            </w:r>
          </w:p>
        </w:tc>
      </w:tr>
      <w:tr w14:paraId="4918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9F740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10.4.1</w:t>
            </w:r>
          </w:p>
        </w:tc>
        <w:tc>
          <w:tcPr>
            <w:tcW w:w="3703" w:type="dxa"/>
            <w:tcMar>
              <w:left w:w="45" w:type="dxa"/>
              <w:right w:w="45" w:type="dxa"/>
            </w:tcMar>
            <w:vAlign w:val="center"/>
          </w:tcPr>
          <w:p w14:paraId="43339B3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开展病原微生物相关实验和研究的人员经过专业培训</w:t>
            </w:r>
          </w:p>
        </w:tc>
        <w:tc>
          <w:tcPr>
            <w:tcW w:w="7777" w:type="dxa"/>
            <w:tcMar>
              <w:left w:w="45" w:type="dxa"/>
              <w:right w:w="45" w:type="dxa"/>
            </w:tcMar>
            <w:vAlign w:val="center"/>
          </w:tcPr>
          <w:p w14:paraId="2DD697AD">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（195）人员经考核合格，并取得证书。</w:t>
            </w:r>
          </w:p>
        </w:tc>
        <w:tc>
          <w:tcPr>
            <w:tcW w:w="2543" w:type="dxa"/>
            <w:tcMar>
              <w:left w:w="45" w:type="dxa"/>
              <w:right w:w="45" w:type="dxa"/>
            </w:tcMar>
            <w:vAlign w:val="center"/>
          </w:tcPr>
          <w:p w14:paraId="1C8583A5">
            <w:pPr>
              <w:widowControl/>
              <w:spacing w:line="300" w:lineRule="exact"/>
              <w:rPr>
                <w:rFonts w:hint="default" w:ascii="Times New Roman" w:hAnsi="Times New Roman" w:eastAsia="仿宋_GB2312" w:cs="Times New Roman"/>
                <w:bCs/>
                <w:color w:val="auto"/>
                <w:kern w:val="0"/>
                <w:szCs w:val="21"/>
                <w:highlight w:val="none"/>
              </w:rPr>
            </w:pPr>
          </w:p>
        </w:tc>
      </w:tr>
      <w:tr w14:paraId="7D2D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2391E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10.4.2</w:t>
            </w:r>
          </w:p>
        </w:tc>
        <w:tc>
          <w:tcPr>
            <w:tcW w:w="3703" w:type="dxa"/>
            <w:tcMar>
              <w:left w:w="45" w:type="dxa"/>
              <w:right w:w="45" w:type="dxa"/>
            </w:tcMar>
            <w:vAlign w:val="center"/>
          </w:tcPr>
          <w:p w14:paraId="24A142BB">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从事高致病性病原微生物相关实验活动的实验室，应当对实验室工作人员进行健康监测</w:t>
            </w:r>
          </w:p>
        </w:tc>
        <w:tc>
          <w:tcPr>
            <w:tcW w:w="7777" w:type="dxa"/>
            <w:tcMar>
              <w:left w:w="45" w:type="dxa"/>
              <w:right w:w="45" w:type="dxa"/>
            </w:tcMar>
            <w:vAlign w:val="center"/>
          </w:tcPr>
          <w:p w14:paraId="5989C46B">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szCs w:val="21"/>
                <w:highlight w:val="none"/>
              </w:rPr>
              <w:t>（196）实施健康监测和治疗方案，并妥善保存相应的医学记录。</w:t>
            </w:r>
            <w:r>
              <w:rPr>
                <w:rFonts w:hint="default" w:ascii="Times New Roman" w:hAnsi="Times New Roman" w:eastAsia="仿宋_GB2312" w:cs="Times New Roman"/>
                <w:bCs/>
                <w:color w:val="auto"/>
                <w:kern w:val="0"/>
                <w:szCs w:val="21"/>
                <w:highlight w:val="none"/>
              </w:rPr>
              <w:t>有上岗前体检和离岗体检，长期工作有定期体检</w:t>
            </w:r>
          </w:p>
        </w:tc>
        <w:tc>
          <w:tcPr>
            <w:tcW w:w="2543" w:type="dxa"/>
            <w:tcMar>
              <w:left w:w="45" w:type="dxa"/>
              <w:right w:w="45" w:type="dxa"/>
            </w:tcMar>
            <w:vAlign w:val="center"/>
          </w:tcPr>
          <w:p w14:paraId="15411776">
            <w:pPr>
              <w:widowControl/>
              <w:spacing w:line="300" w:lineRule="exact"/>
              <w:rPr>
                <w:rFonts w:hint="default" w:ascii="Times New Roman" w:hAnsi="Times New Roman" w:eastAsia="仿宋_GB2312" w:cs="Times New Roman"/>
                <w:bCs/>
                <w:color w:val="auto"/>
                <w:kern w:val="0"/>
                <w:szCs w:val="21"/>
                <w:highlight w:val="none"/>
              </w:rPr>
            </w:pPr>
          </w:p>
        </w:tc>
      </w:tr>
      <w:tr w14:paraId="4851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3DE2A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10.4.3</w:t>
            </w:r>
          </w:p>
        </w:tc>
        <w:tc>
          <w:tcPr>
            <w:tcW w:w="3703" w:type="dxa"/>
            <w:tcMar>
              <w:left w:w="45" w:type="dxa"/>
              <w:right w:w="45" w:type="dxa"/>
            </w:tcMar>
            <w:vAlign w:val="center"/>
          </w:tcPr>
          <w:p w14:paraId="7B2DFF41">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制定相应的人员准入制度</w:t>
            </w:r>
          </w:p>
        </w:tc>
        <w:tc>
          <w:tcPr>
            <w:tcW w:w="7777" w:type="dxa"/>
            <w:tcMar>
              <w:left w:w="45" w:type="dxa"/>
              <w:right w:w="45" w:type="dxa"/>
            </w:tcMar>
            <w:vAlign w:val="center"/>
          </w:tcPr>
          <w:p w14:paraId="2EA65CD9">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szCs w:val="21"/>
                <w:highlight w:val="none"/>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highlight w:val="none"/>
              </w:rPr>
              <w:t>。出现感冒发热等症状时，不得进行病原微生物实验</w:t>
            </w:r>
          </w:p>
        </w:tc>
        <w:tc>
          <w:tcPr>
            <w:tcW w:w="2543" w:type="dxa"/>
            <w:tcMar>
              <w:left w:w="45" w:type="dxa"/>
              <w:right w:w="45" w:type="dxa"/>
            </w:tcMar>
            <w:vAlign w:val="center"/>
          </w:tcPr>
          <w:p w14:paraId="3F44AA9A">
            <w:pPr>
              <w:widowControl/>
              <w:spacing w:line="300" w:lineRule="exact"/>
              <w:rPr>
                <w:rFonts w:hint="default" w:ascii="Times New Roman" w:hAnsi="Times New Roman" w:eastAsia="仿宋_GB2312" w:cs="Times New Roman"/>
                <w:bCs/>
                <w:color w:val="auto"/>
                <w:kern w:val="0"/>
                <w:szCs w:val="21"/>
                <w:highlight w:val="none"/>
              </w:rPr>
            </w:pPr>
          </w:p>
        </w:tc>
      </w:tr>
      <w:tr w14:paraId="2BA0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3A0B9">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10.5</w:t>
            </w:r>
          </w:p>
        </w:tc>
        <w:tc>
          <w:tcPr>
            <w:tcW w:w="14023" w:type="dxa"/>
            <w:gridSpan w:val="3"/>
            <w:tcMar>
              <w:left w:w="45" w:type="dxa"/>
              <w:right w:w="45" w:type="dxa"/>
            </w:tcMar>
            <w:vAlign w:val="center"/>
          </w:tcPr>
          <w:p w14:paraId="69097A2C">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操作与管理</w:t>
            </w:r>
          </w:p>
        </w:tc>
      </w:tr>
      <w:tr w14:paraId="7016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D215B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10.5.1</w:t>
            </w:r>
          </w:p>
        </w:tc>
        <w:tc>
          <w:tcPr>
            <w:tcW w:w="3703" w:type="dxa"/>
            <w:tcMar>
              <w:left w:w="45" w:type="dxa"/>
              <w:right w:w="45" w:type="dxa"/>
            </w:tcMar>
            <w:vAlign w:val="center"/>
          </w:tcPr>
          <w:p w14:paraId="54991D2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制定并采用生物安全手册，有相关标准操作规范</w:t>
            </w:r>
          </w:p>
        </w:tc>
        <w:tc>
          <w:tcPr>
            <w:tcW w:w="7777" w:type="dxa"/>
            <w:tcMar>
              <w:left w:w="45" w:type="dxa"/>
              <w:right w:w="45" w:type="dxa"/>
            </w:tcMar>
            <w:vAlign w:val="center"/>
          </w:tcPr>
          <w:p w14:paraId="11000FB4">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（198）有从事病原微生物相关实验活动的标准操作规范</w:t>
            </w:r>
          </w:p>
        </w:tc>
        <w:tc>
          <w:tcPr>
            <w:tcW w:w="2543" w:type="dxa"/>
            <w:tcMar>
              <w:left w:w="45" w:type="dxa"/>
              <w:right w:w="45" w:type="dxa"/>
            </w:tcMar>
            <w:vAlign w:val="center"/>
          </w:tcPr>
          <w:p w14:paraId="4A671826">
            <w:pPr>
              <w:widowControl/>
              <w:spacing w:line="300" w:lineRule="exact"/>
              <w:rPr>
                <w:rFonts w:hint="default" w:ascii="Times New Roman" w:hAnsi="Times New Roman" w:eastAsia="仿宋_GB2312" w:cs="Times New Roman"/>
                <w:bCs/>
                <w:color w:val="auto"/>
                <w:kern w:val="0"/>
                <w:szCs w:val="21"/>
                <w:highlight w:val="none"/>
              </w:rPr>
            </w:pPr>
          </w:p>
        </w:tc>
      </w:tr>
      <w:tr w14:paraId="315E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A0DD7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10.5.2</w:t>
            </w:r>
          </w:p>
        </w:tc>
        <w:tc>
          <w:tcPr>
            <w:tcW w:w="3703" w:type="dxa"/>
            <w:tcMar>
              <w:left w:w="45" w:type="dxa"/>
              <w:right w:w="45" w:type="dxa"/>
            </w:tcMar>
            <w:vAlign w:val="center"/>
          </w:tcPr>
          <w:p w14:paraId="335C063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开展相关实验活动的风险评估和制定相应的应急预案</w:t>
            </w:r>
          </w:p>
        </w:tc>
        <w:tc>
          <w:tcPr>
            <w:tcW w:w="7777" w:type="dxa"/>
            <w:tcMar>
              <w:left w:w="45" w:type="dxa"/>
              <w:right w:w="45" w:type="dxa"/>
            </w:tcMar>
            <w:vAlign w:val="center"/>
          </w:tcPr>
          <w:p w14:paraId="6C66BDAC">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（199）</w:t>
            </w:r>
            <w:r>
              <w:rPr>
                <w:rFonts w:hint="default" w:ascii="Times New Roman" w:hAnsi="Times New Roman" w:eastAsia="仿宋_GB2312" w:cs="Times New Roman"/>
                <w:b/>
                <w:bCs/>
                <w:color w:val="auto"/>
                <w:kern w:val="0"/>
                <w:szCs w:val="21"/>
                <w:highlight w:val="none"/>
              </w:rPr>
              <w:t>开展病原微生物的相关实验活动应有风险评估和应急预案，包括</w:t>
            </w:r>
            <w:r>
              <w:rPr>
                <w:rFonts w:hint="default" w:ascii="Times New Roman" w:hAnsi="Times New Roman" w:eastAsia="仿宋_GB2312" w:cs="Times New Roman"/>
                <w:b/>
                <w:bCs/>
                <w:color w:val="auto"/>
                <w:szCs w:val="21"/>
                <w:highlight w:val="none"/>
              </w:rPr>
              <w:t>病原微生物及感染材料溢洒和意外事故的书面处置程序</w:t>
            </w:r>
          </w:p>
        </w:tc>
        <w:tc>
          <w:tcPr>
            <w:tcW w:w="2543" w:type="dxa"/>
            <w:tcMar>
              <w:left w:w="45" w:type="dxa"/>
              <w:right w:w="45" w:type="dxa"/>
            </w:tcMar>
            <w:vAlign w:val="center"/>
          </w:tcPr>
          <w:p w14:paraId="3C8765F2">
            <w:pPr>
              <w:widowControl/>
              <w:spacing w:line="300" w:lineRule="exact"/>
              <w:rPr>
                <w:rFonts w:hint="default" w:ascii="Times New Roman" w:hAnsi="Times New Roman" w:eastAsia="仿宋_GB2312" w:cs="Times New Roman"/>
                <w:bCs/>
                <w:color w:val="auto"/>
                <w:kern w:val="0"/>
                <w:szCs w:val="21"/>
                <w:highlight w:val="none"/>
              </w:rPr>
            </w:pPr>
          </w:p>
        </w:tc>
      </w:tr>
      <w:tr w14:paraId="43CD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31482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10.5.3</w:t>
            </w:r>
          </w:p>
        </w:tc>
        <w:tc>
          <w:tcPr>
            <w:tcW w:w="3703" w:type="dxa"/>
            <w:tcMar>
              <w:left w:w="45" w:type="dxa"/>
              <w:right w:w="45" w:type="dxa"/>
            </w:tcMar>
            <w:vAlign w:val="center"/>
          </w:tcPr>
          <w:p w14:paraId="63A9999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实验操作合规，安全防护措施合理</w:t>
            </w:r>
          </w:p>
        </w:tc>
        <w:tc>
          <w:tcPr>
            <w:tcW w:w="7777" w:type="dxa"/>
            <w:tcMar>
              <w:left w:w="45" w:type="dxa"/>
              <w:right w:w="45" w:type="dxa"/>
            </w:tcMar>
            <w:vAlign w:val="center"/>
          </w:tcPr>
          <w:p w14:paraId="7C753F9E">
            <w:pPr>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（200）在合适的生物安全柜中进行实验操作</w:t>
            </w:r>
            <w:r>
              <w:rPr>
                <w:rFonts w:hint="default" w:ascii="Times New Roman" w:hAnsi="Times New Roman" w:eastAsia="仿宋_GB2312" w:cs="Times New Roman"/>
                <w:bCs/>
                <w:color w:val="auto"/>
                <w:kern w:val="0"/>
                <w:szCs w:val="21"/>
                <w:highlight w:val="none"/>
              </w:rPr>
              <w:t>，不得在超净工作台中进行病原微生物实验。</w:t>
            </w:r>
          </w:p>
          <w:p w14:paraId="39167879">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bCs/>
                <w:color w:val="auto"/>
                <w:kern w:val="0"/>
                <w:szCs w:val="21"/>
                <w:highlight w:val="none"/>
              </w:rPr>
              <w:t>（201）应按标准操作规程</w:t>
            </w:r>
            <w:r>
              <w:rPr>
                <w:rFonts w:hint="default" w:ascii="Times New Roman" w:hAnsi="Times New Roman" w:eastAsia="仿宋_GB2312" w:cs="Times New Roman"/>
                <w:color w:val="auto"/>
                <w:kern w:val="0"/>
                <w:szCs w:val="21"/>
                <w:highlight w:val="none"/>
              </w:rPr>
              <w:t>安全操作高速离心机等设备，小心防止离心管破损或盖子破裂造成溢洒或气溶胶扩散。</w:t>
            </w:r>
          </w:p>
          <w:p w14:paraId="2E189F56">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（202）有合适的个体防护措施，</w:t>
            </w:r>
            <w:r>
              <w:rPr>
                <w:rFonts w:hint="default" w:ascii="Times New Roman" w:hAnsi="Times New Roman" w:eastAsia="仿宋_GB2312" w:cs="Times New Roman"/>
                <w:color w:val="auto"/>
                <w:szCs w:val="21"/>
                <w:highlight w:val="none"/>
              </w:rPr>
              <w:t>禁止戴防护手套操作</w:t>
            </w:r>
            <w:r>
              <w:rPr>
                <w:rFonts w:hint="default" w:ascii="Times New Roman" w:hAnsi="Times New Roman" w:eastAsia="仿宋_GB2312" w:cs="Times New Roman"/>
                <w:color w:val="auto"/>
                <w:highlight w:val="none"/>
              </w:rPr>
              <w:t>相关实验以外的</w:t>
            </w:r>
            <w:r>
              <w:rPr>
                <w:rFonts w:hint="default" w:ascii="Times New Roman" w:hAnsi="Times New Roman" w:eastAsia="仿宋_GB2312" w:cs="Times New Roman"/>
                <w:color w:val="auto"/>
                <w:szCs w:val="21"/>
                <w:highlight w:val="none"/>
              </w:rPr>
              <w:t>设施设备</w:t>
            </w:r>
          </w:p>
        </w:tc>
        <w:tc>
          <w:tcPr>
            <w:tcW w:w="2543" w:type="dxa"/>
            <w:tcMar>
              <w:left w:w="45" w:type="dxa"/>
              <w:right w:w="45" w:type="dxa"/>
            </w:tcMar>
            <w:vAlign w:val="center"/>
          </w:tcPr>
          <w:p w14:paraId="01A576DF">
            <w:pPr>
              <w:pStyle w:val="55"/>
              <w:spacing w:line="360" w:lineRule="auto"/>
              <w:ind w:firstLine="0" w:firstLineChars="0"/>
              <w:rPr>
                <w:rFonts w:hint="default" w:ascii="Times New Roman" w:hAnsi="Times New Roman" w:eastAsia="仿宋_GB2312" w:cs="Times New Roman"/>
                <w:bCs/>
                <w:color w:val="auto"/>
                <w:kern w:val="0"/>
                <w:highlight w:val="none"/>
              </w:rPr>
            </w:pPr>
          </w:p>
        </w:tc>
      </w:tr>
      <w:tr w14:paraId="668A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2BBDD0">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10.6</w:t>
            </w:r>
          </w:p>
        </w:tc>
        <w:tc>
          <w:tcPr>
            <w:tcW w:w="14023" w:type="dxa"/>
            <w:gridSpan w:val="3"/>
            <w:tcMar>
              <w:left w:w="45" w:type="dxa"/>
              <w:right w:w="45" w:type="dxa"/>
            </w:tcMar>
            <w:vAlign w:val="center"/>
          </w:tcPr>
          <w:p w14:paraId="221DA689">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
                <w:color w:val="auto"/>
                <w:kern w:val="0"/>
                <w:szCs w:val="21"/>
                <w:highlight w:val="none"/>
              </w:rPr>
              <w:t>实验动物安全</w:t>
            </w:r>
          </w:p>
        </w:tc>
      </w:tr>
      <w:tr w14:paraId="1131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DC183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10.6.1</w:t>
            </w:r>
          </w:p>
        </w:tc>
        <w:tc>
          <w:tcPr>
            <w:tcW w:w="3703" w:type="dxa"/>
            <w:tcMar>
              <w:left w:w="45" w:type="dxa"/>
              <w:right w:w="45" w:type="dxa"/>
            </w:tcMar>
            <w:vAlign w:val="center"/>
          </w:tcPr>
          <w:p w14:paraId="699A365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实验动物的购买、饲养、解剖等须符合相关规定</w:t>
            </w:r>
          </w:p>
        </w:tc>
        <w:tc>
          <w:tcPr>
            <w:tcW w:w="7777" w:type="dxa"/>
            <w:tcMar>
              <w:left w:w="45" w:type="dxa"/>
              <w:right w:w="45" w:type="dxa"/>
            </w:tcMar>
            <w:vAlign w:val="center"/>
          </w:tcPr>
          <w:p w14:paraId="5C22CC1E">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（203）饲养实验动物的场所应有资质证书，实验动物须从具有资质的单位购买，有合格证明，</w:t>
            </w:r>
            <w:r>
              <w:rPr>
                <w:rFonts w:hint="default" w:ascii="Times New Roman" w:hAnsi="Times New Roman" w:eastAsia="仿宋_GB2312" w:cs="Times New Roman"/>
                <w:color w:val="auto"/>
                <w:szCs w:val="21"/>
                <w:highlight w:val="none"/>
              </w:rPr>
              <w:t>用于解剖的实验动物须经过检验检疫合格。</w:t>
            </w:r>
          </w:p>
          <w:p w14:paraId="3DFD7D0E">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（204）解剖实验动物时，必须做好个人安全防护。</w:t>
            </w:r>
          </w:p>
          <w:p w14:paraId="40B359FA">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szCs w:val="21"/>
                <w:highlight w:val="none"/>
              </w:rPr>
              <w:t>（205）对直接接触实验动物的工作人员，须定期组织健康检查</w:t>
            </w:r>
          </w:p>
        </w:tc>
        <w:tc>
          <w:tcPr>
            <w:tcW w:w="2543" w:type="dxa"/>
            <w:tcMar>
              <w:left w:w="45" w:type="dxa"/>
              <w:right w:w="45" w:type="dxa"/>
            </w:tcMar>
            <w:vAlign w:val="center"/>
          </w:tcPr>
          <w:p w14:paraId="3B8FA822">
            <w:pPr>
              <w:widowControl/>
              <w:spacing w:line="300" w:lineRule="exact"/>
              <w:rPr>
                <w:rFonts w:hint="default" w:ascii="Times New Roman" w:hAnsi="Times New Roman" w:eastAsia="仿宋_GB2312" w:cs="Times New Roman"/>
                <w:bCs/>
                <w:color w:val="auto"/>
                <w:kern w:val="0"/>
                <w:szCs w:val="21"/>
                <w:highlight w:val="none"/>
              </w:rPr>
            </w:pPr>
          </w:p>
        </w:tc>
      </w:tr>
      <w:tr w14:paraId="4DED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609F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10.6.2</w:t>
            </w:r>
          </w:p>
        </w:tc>
        <w:tc>
          <w:tcPr>
            <w:tcW w:w="3703" w:type="dxa"/>
            <w:tcMar>
              <w:left w:w="45" w:type="dxa"/>
              <w:right w:w="45" w:type="dxa"/>
            </w:tcMar>
            <w:vAlign w:val="center"/>
          </w:tcPr>
          <w:p w14:paraId="1C88D698">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动物实验按相关规定进行实验动物福利伦理审查</w:t>
            </w:r>
          </w:p>
        </w:tc>
        <w:tc>
          <w:tcPr>
            <w:tcW w:w="7777" w:type="dxa"/>
            <w:tcMar>
              <w:left w:w="45" w:type="dxa"/>
              <w:right w:w="45" w:type="dxa"/>
            </w:tcMar>
            <w:vAlign w:val="center"/>
          </w:tcPr>
          <w:p w14:paraId="489D4FD9">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（206）学校有实验动物福利伦理审查机构，查看审查记录</w:t>
            </w:r>
          </w:p>
        </w:tc>
        <w:tc>
          <w:tcPr>
            <w:tcW w:w="2543" w:type="dxa"/>
            <w:tcMar>
              <w:left w:w="45" w:type="dxa"/>
              <w:right w:w="45" w:type="dxa"/>
            </w:tcMar>
            <w:vAlign w:val="center"/>
          </w:tcPr>
          <w:p w14:paraId="560D0E60">
            <w:pPr>
              <w:widowControl/>
              <w:spacing w:line="300" w:lineRule="exact"/>
              <w:rPr>
                <w:rFonts w:hint="default" w:ascii="Times New Roman" w:hAnsi="Times New Roman" w:eastAsia="仿宋_GB2312" w:cs="Times New Roman"/>
                <w:bCs/>
                <w:color w:val="auto"/>
                <w:kern w:val="0"/>
                <w:szCs w:val="21"/>
                <w:highlight w:val="none"/>
              </w:rPr>
            </w:pPr>
          </w:p>
        </w:tc>
      </w:tr>
      <w:tr w14:paraId="2AF6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5D35BC">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10.7</w:t>
            </w:r>
          </w:p>
        </w:tc>
        <w:tc>
          <w:tcPr>
            <w:tcW w:w="14023" w:type="dxa"/>
            <w:gridSpan w:val="3"/>
            <w:tcMar>
              <w:left w:w="45" w:type="dxa"/>
              <w:right w:w="45" w:type="dxa"/>
            </w:tcMar>
            <w:vAlign w:val="center"/>
          </w:tcPr>
          <w:p w14:paraId="49E32B0A">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生物实验废物处置</w:t>
            </w:r>
          </w:p>
        </w:tc>
      </w:tr>
      <w:tr w14:paraId="4515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C4215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10.7.1</w:t>
            </w:r>
          </w:p>
        </w:tc>
        <w:tc>
          <w:tcPr>
            <w:tcW w:w="3703" w:type="dxa"/>
            <w:tcMar>
              <w:left w:w="45" w:type="dxa"/>
              <w:right w:w="45" w:type="dxa"/>
            </w:tcMar>
            <w:vAlign w:val="center"/>
          </w:tcPr>
          <w:p w14:paraId="48407B3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生物废弃物的中转和处置规范</w:t>
            </w:r>
          </w:p>
        </w:tc>
        <w:tc>
          <w:tcPr>
            <w:tcW w:w="7777" w:type="dxa"/>
            <w:tcMar>
              <w:left w:w="45" w:type="dxa"/>
              <w:right w:w="45" w:type="dxa"/>
            </w:tcMar>
            <w:vAlign w:val="center"/>
          </w:tcPr>
          <w:p w14:paraId="6CC4FBE5">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（207）学校与有资质的单位签约处置感染性废物，有交接记录，形成电子或者纸质台账。</w:t>
            </w:r>
          </w:p>
          <w:p w14:paraId="5C00827E">
            <w:pPr>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（208）学校有生物废弃物中转站或收集点，生物废物及时收集转运</w:t>
            </w:r>
          </w:p>
        </w:tc>
        <w:tc>
          <w:tcPr>
            <w:tcW w:w="2543" w:type="dxa"/>
            <w:tcMar>
              <w:left w:w="45" w:type="dxa"/>
              <w:right w:w="45" w:type="dxa"/>
            </w:tcMar>
            <w:vAlign w:val="center"/>
          </w:tcPr>
          <w:p w14:paraId="1A9AF0D2">
            <w:pPr>
              <w:widowControl/>
              <w:spacing w:line="300" w:lineRule="exact"/>
              <w:rPr>
                <w:rFonts w:hint="default" w:ascii="Times New Roman" w:hAnsi="Times New Roman" w:eastAsia="仿宋_GB2312" w:cs="Times New Roman"/>
                <w:b/>
                <w:bCs/>
                <w:color w:val="auto"/>
                <w:kern w:val="0"/>
                <w:szCs w:val="21"/>
                <w:highlight w:val="none"/>
              </w:rPr>
            </w:pPr>
          </w:p>
        </w:tc>
      </w:tr>
      <w:tr w14:paraId="0628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5CD52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10.7.2</w:t>
            </w:r>
          </w:p>
        </w:tc>
        <w:tc>
          <w:tcPr>
            <w:tcW w:w="3703" w:type="dxa"/>
            <w:tcMar>
              <w:left w:w="45" w:type="dxa"/>
              <w:right w:w="45" w:type="dxa"/>
            </w:tcMar>
            <w:vAlign w:val="center"/>
          </w:tcPr>
          <w:p w14:paraId="6469A2B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生物废弃物与其他类别废物分开，并且做好防护和消杀</w:t>
            </w:r>
          </w:p>
        </w:tc>
        <w:tc>
          <w:tcPr>
            <w:tcW w:w="7777" w:type="dxa"/>
            <w:tcMar>
              <w:left w:w="45" w:type="dxa"/>
              <w:right w:w="45" w:type="dxa"/>
            </w:tcMar>
            <w:vAlign w:val="center"/>
          </w:tcPr>
          <w:p w14:paraId="43932742">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（209）生物废物应与化学废物、生活垃圾等分开贮存。</w:t>
            </w:r>
          </w:p>
          <w:p w14:paraId="7F55E956">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（210）实验室内配备生物废物垃圾桶（内置</w:t>
            </w:r>
            <w:r>
              <w:rPr>
                <w:rFonts w:hint="default" w:ascii="Times New Roman" w:hAnsi="Times New Roman" w:eastAsia="仿宋_GB2312" w:cs="Times New Roman"/>
                <w:color w:val="auto"/>
                <w:kern w:val="0"/>
                <w:highlight w:val="none"/>
              </w:rPr>
              <w:t>生物废物专用</w:t>
            </w:r>
            <w:r>
              <w:rPr>
                <w:rFonts w:hint="default" w:ascii="Times New Roman" w:hAnsi="Times New Roman" w:eastAsia="仿宋_GB2312" w:cs="Times New Roman"/>
                <w:color w:val="auto"/>
                <w:kern w:val="0"/>
                <w:szCs w:val="21"/>
                <w:highlight w:val="none"/>
              </w:rPr>
              <w:t>塑料袋），并粘贴专用标签标识。</w:t>
            </w:r>
          </w:p>
          <w:p w14:paraId="1DE58AB2">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（211）刀片、移液枪头等尖锐物应使用利器盒或耐扎纸板箱盛放，送储时再装入生物废物专用塑料袋，贴好标签。</w:t>
            </w:r>
          </w:p>
          <w:p w14:paraId="0A068B49">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（212）动物实验结束后，动物尸体及组织应做无害化处理，感染性废物彻底灭菌后方可处置。</w:t>
            </w:r>
          </w:p>
          <w:p w14:paraId="5D6FC5CD">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（213）涉及病原微生物或其他感染性生物废物必须进行高温高压灭菌或化学浸泡处理，然后由有资质的公司进行最终处置，并保留记录。</w:t>
            </w:r>
          </w:p>
          <w:p w14:paraId="24041F0B">
            <w:pPr>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（214）高致病性生物材料废物处置实现溯源追踪</w:t>
            </w:r>
          </w:p>
        </w:tc>
        <w:tc>
          <w:tcPr>
            <w:tcW w:w="2543" w:type="dxa"/>
            <w:tcMar>
              <w:left w:w="45" w:type="dxa"/>
              <w:right w:w="45" w:type="dxa"/>
            </w:tcMar>
            <w:vAlign w:val="center"/>
          </w:tcPr>
          <w:p w14:paraId="4D27AD1B">
            <w:pPr>
              <w:widowControl/>
              <w:spacing w:line="300" w:lineRule="exact"/>
              <w:rPr>
                <w:rFonts w:hint="default" w:ascii="Times New Roman" w:hAnsi="Times New Roman" w:eastAsia="仿宋_GB2312" w:cs="Times New Roman"/>
                <w:b/>
                <w:bCs/>
                <w:color w:val="auto"/>
                <w:kern w:val="0"/>
                <w:highlight w:val="none"/>
              </w:rPr>
            </w:pPr>
          </w:p>
        </w:tc>
      </w:tr>
      <w:tr w14:paraId="70BA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CA909A">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11</w:t>
            </w:r>
          </w:p>
        </w:tc>
        <w:tc>
          <w:tcPr>
            <w:tcW w:w="14023" w:type="dxa"/>
            <w:gridSpan w:val="3"/>
            <w:tcMar>
              <w:left w:w="45" w:type="dxa"/>
              <w:right w:w="45" w:type="dxa"/>
            </w:tcMar>
            <w:vAlign w:val="center"/>
          </w:tcPr>
          <w:p w14:paraId="4A1A5EFA">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辐射安全与核材料管制</w:t>
            </w:r>
          </w:p>
        </w:tc>
      </w:tr>
      <w:tr w14:paraId="1C91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DCB241">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11.1</w:t>
            </w:r>
          </w:p>
        </w:tc>
        <w:tc>
          <w:tcPr>
            <w:tcW w:w="14023" w:type="dxa"/>
            <w:gridSpan w:val="3"/>
            <w:tcMar>
              <w:left w:w="45" w:type="dxa"/>
              <w:right w:w="45" w:type="dxa"/>
            </w:tcMar>
            <w:vAlign w:val="center"/>
          </w:tcPr>
          <w:p w14:paraId="56AF425A">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资质与人员要求</w:t>
            </w:r>
          </w:p>
        </w:tc>
      </w:tr>
      <w:tr w14:paraId="3E5E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9A8BA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11.1.1</w:t>
            </w:r>
          </w:p>
        </w:tc>
        <w:tc>
          <w:tcPr>
            <w:tcW w:w="3703" w:type="dxa"/>
            <w:tcMar>
              <w:left w:w="45" w:type="dxa"/>
              <w:right w:w="45" w:type="dxa"/>
            </w:tcMar>
            <w:vAlign w:val="center"/>
          </w:tcPr>
          <w:p w14:paraId="7CEBE54C">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color w:val="auto"/>
                <w:szCs w:val="21"/>
                <w:highlight w:val="none"/>
              </w:rPr>
              <w:t>辐射工作</w:t>
            </w:r>
            <w:r>
              <w:rPr>
                <w:rFonts w:hint="default" w:ascii="Times New Roman" w:hAnsi="Times New Roman" w:eastAsia="仿宋_GB2312" w:cs="Times New Roman"/>
                <w:bCs/>
                <w:color w:val="auto"/>
                <w:kern w:val="0"/>
                <w:szCs w:val="21"/>
                <w:highlight w:val="none"/>
              </w:rPr>
              <w:t>单位须</w:t>
            </w:r>
            <w:r>
              <w:rPr>
                <w:rFonts w:hint="default" w:ascii="Times New Roman" w:hAnsi="Times New Roman" w:eastAsia="仿宋_GB2312" w:cs="Times New Roman"/>
                <w:color w:val="auto"/>
                <w:kern w:val="0"/>
                <w:szCs w:val="21"/>
                <w:highlight w:val="none"/>
              </w:rPr>
              <w:t>取得辐射安全许可证</w:t>
            </w:r>
          </w:p>
        </w:tc>
        <w:tc>
          <w:tcPr>
            <w:tcW w:w="7777" w:type="dxa"/>
            <w:tcMar>
              <w:left w:w="45" w:type="dxa"/>
              <w:right w:w="45" w:type="dxa"/>
            </w:tcMar>
            <w:vAlign w:val="center"/>
          </w:tcPr>
          <w:p w14:paraId="00C882D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274FE059">
            <w:pPr>
              <w:spacing w:line="360" w:lineRule="auto"/>
              <w:rPr>
                <w:rFonts w:hint="default" w:ascii="Times New Roman" w:hAnsi="Times New Roman" w:eastAsia="仿宋_GB2312" w:cs="Times New Roman"/>
                <w:color w:val="auto"/>
                <w:sz w:val="24"/>
                <w:highlight w:val="none"/>
              </w:rPr>
            </w:pPr>
          </w:p>
        </w:tc>
      </w:tr>
      <w:tr w14:paraId="64CC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85E86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11.1.2</w:t>
            </w:r>
          </w:p>
        </w:tc>
        <w:tc>
          <w:tcPr>
            <w:tcW w:w="3703" w:type="dxa"/>
            <w:tcMar>
              <w:left w:w="45" w:type="dxa"/>
              <w:right w:w="45" w:type="dxa"/>
            </w:tcMar>
            <w:vAlign w:val="center"/>
          </w:tcPr>
          <w:p w14:paraId="4831205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辐射工作</w:t>
            </w:r>
            <w:r>
              <w:rPr>
                <w:rFonts w:hint="default" w:ascii="Times New Roman" w:hAnsi="Times New Roman" w:eastAsia="仿宋_GB2312" w:cs="Times New Roman"/>
                <w:color w:val="auto"/>
                <w:kern w:val="0"/>
                <w:szCs w:val="21"/>
                <w:highlight w:val="none"/>
              </w:rPr>
              <w:t>人员须经过专门培训，定期参加职业体检</w:t>
            </w:r>
          </w:p>
        </w:tc>
        <w:tc>
          <w:tcPr>
            <w:tcW w:w="7777" w:type="dxa"/>
            <w:tcMar>
              <w:left w:w="45" w:type="dxa"/>
              <w:right w:w="45" w:type="dxa"/>
            </w:tcMar>
            <w:vAlign w:val="center"/>
          </w:tcPr>
          <w:p w14:paraId="1FB2858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（216）辐射工作人员应具有生态环境部组织考核的《核技术利用辐射安全与防护考核成绩报告单》，仅从事III类射线装置使用活动的人员可由所在单位自行组织考核。</w:t>
            </w:r>
          </w:p>
          <w:p w14:paraId="1EB9FA7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（217）</w:t>
            </w:r>
            <w:r>
              <w:rPr>
                <w:rFonts w:hint="default" w:ascii="Times New Roman" w:hAnsi="Times New Roman" w:eastAsia="仿宋_GB2312" w:cs="Times New Roman"/>
                <w:color w:val="auto"/>
                <w:szCs w:val="21"/>
                <w:highlight w:val="none"/>
              </w:rPr>
              <w:t>辐射工作</w:t>
            </w:r>
            <w:r>
              <w:rPr>
                <w:rFonts w:hint="default" w:ascii="Times New Roman" w:hAnsi="Times New Roman" w:eastAsia="仿宋_GB2312" w:cs="Times New Roman"/>
                <w:color w:val="auto"/>
                <w:kern w:val="0"/>
                <w:szCs w:val="21"/>
                <w:highlight w:val="none"/>
              </w:rPr>
              <w:t>人员按时参加放射性职业体检（2年1次），有健康档案。</w:t>
            </w:r>
          </w:p>
          <w:p w14:paraId="5FCA8052">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（218）</w:t>
            </w:r>
            <w:r>
              <w:rPr>
                <w:rFonts w:hint="default" w:ascii="Times New Roman" w:hAnsi="Times New Roman" w:eastAsia="仿宋_GB2312" w:cs="Times New Roman"/>
                <w:color w:val="auto"/>
                <w:szCs w:val="21"/>
                <w:highlight w:val="none"/>
              </w:rPr>
              <w:t>辐射工作</w:t>
            </w:r>
            <w:r>
              <w:rPr>
                <w:rFonts w:hint="default" w:ascii="Times New Roman" w:hAnsi="Times New Roman" w:eastAsia="仿宋_GB2312" w:cs="Times New Roman"/>
                <w:color w:val="auto"/>
                <w:kern w:val="0"/>
                <w:szCs w:val="21"/>
                <w:highlight w:val="none"/>
              </w:rPr>
              <w:t>人员进入实验场所须佩戴个人剂量计，剂量计委托有资质的单位按时进行剂量监测（3个月1次）</w:t>
            </w:r>
          </w:p>
        </w:tc>
        <w:tc>
          <w:tcPr>
            <w:tcW w:w="2543" w:type="dxa"/>
            <w:tcMar>
              <w:left w:w="45" w:type="dxa"/>
              <w:right w:w="45" w:type="dxa"/>
            </w:tcMar>
            <w:vAlign w:val="center"/>
          </w:tcPr>
          <w:p w14:paraId="76A9A280">
            <w:pPr>
              <w:spacing w:line="360" w:lineRule="auto"/>
              <w:rPr>
                <w:rFonts w:hint="default" w:ascii="Times New Roman" w:hAnsi="Times New Roman" w:eastAsia="仿宋_GB2312" w:cs="Times New Roman"/>
                <w:bCs/>
                <w:color w:val="auto"/>
                <w:kern w:val="0"/>
                <w:szCs w:val="21"/>
                <w:highlight w:val="none"/>
              </w:rPr>
            </w:pPr>
          </w:p>
        </w:tc>
      </w:tr>
      <w:tr w14:paraId="39D7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D2AF0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11.1.3</w:t>
            </w:r>
          </w:p>
        </w:tc>
        <w:tc>
          <w:tcPr>
            <w:tcW w:w="3703" w:type="dxa"/>
            <w:tcMar>
              <w:left w:w="45" w:type="dxa"/>
              <w:right w:w="45" w:type="dxa"/>
            </w:tcMar>
            <w:vAlign w:val="center"/>
          </w:tcPr>
          <w:p w14:paraId="67906292">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2922778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bCs/>
                <w:color w:val="auto"/>
                <w:kern w:val="0"/>
                <w:szCs w:val="21"/>
                <w:highlight w:val="none"/>
              </w:rPr>
              <w:t>（219）持有核材料数量达到法定要求的单位须</w:t>
            </w:r>
            <w:r>
              <w:rPr>
                <w:rFonts w:hint="default" w:ascii="Times New Roman" w:hAnsi="Times New Roman" w:eastAsia="仿宋_GB2312" w:cs="Times New Roman"/>
                <w:color w:val="auto"/>
                <w:kern w:val="0"/>
                <w:szCs w:val="21"/>
                <w:highlight w:val="none"/>
              </w:rPr>
              <w:t>取得核材料许可证，</w:t>
            </w:r>
            <w:r>
              <w:rPr>
                <w:rFonts w:hint="default" w:ascii="Times New Roman" w:hAnsi="Times New Roman" w:eastAsia="仿宋_GB2312" w:cs="Times New Roman"/>
                <w:color w:val="auto"/>
                <w:szCs w:val="21"/>
                <w:highlight w:val="none"/>
              </w:rPr>
              <w:t>有负责机构或指定专人负责核材料管制工作，核材料衡算和核安保工作执行国家法律法规要求</w:t>
            </w:r>
          </w:p>
        </w:tc>
        <w:tc>
          <w:tcPr>
            <w:tcW w:w="2543" w:type="dxa"/>
            <w:tcMar>
              <w:left w:w="45" w:type="dxa"/>
              <w:right w:w="45" w:type="dxa"/>
            </w:tcMar>
            <w:vAlign w:val="center"/>
          </w:tcPr>
          <w:p w14:paraId="2A4F28AB">
            <w:pPr>
              <w:spacing w:line="360" w:lineRule="auto"/>
              <w:rPr>
                <w:rFonts w:hint="default" w:ascii="Times New Roman" w:hAnsi="Times New Roman" w:eastAsia="仿宋_GB2312" w:cs="Times New Roman"/>
                <w:bCs/>
                <w:color w:val="auto"/>
                <w:kern w:val="0"/>
                <w:szCs w:val="21"/>
                <w:highlight w:val="none"/>
              </w:rPr>
            </w:pPr>
          </w:p>
        </w:tc>
      </w:tr>
      <w:tr w14:paraId="15D6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C5661C">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11.2</w:t>
            </w:r>
          </w:p>
        </w:tc>
        <w:tc>
          <w:tcPr>
            <w:tcW w:w="14023" w:type="dxa"/>
            <w:gridSpan w:val="3"/>
            <w:tcMar>
              <w:left w:w="45" w:type="dxa"/>
              <w:right w:w="45" w:type="dxa"/>
            </w:tcMar>
            <w:vAlign w:val="center"/>
          </w:tcPr>
          <w:p w14:paraId="14EAFC1E">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场所设施与采购运输</w:t>
            </w:r>
          </w:p>
        </w:tc>
      </w:tr>
      <w:tr w14:paraId="209E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1E25D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11.2.1</w:t>
            </w:r>
          </w:p>
        </w:tc>
        <w:tc>
          <w:tcPr>
            <w:tcW w:w="3703" w:type="dxa"/>
            <w:tcMar>
              <w:left w:w="45" w:type="dxa"/>
              <w:right w:w="45" w:type="dxa"/>
            </w:tcMar>
            <w:vAlign w:val="center"/>
          </w:tcPr>
          <w:p w14:paraId="5B9F14C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辐射设施和场所应设有警示、联锁和报警装置</w:t>
            </w:r>
          </w:p>
        </w:tc>
        <w:tc>
          <w:tcPr>
            <w:tcW w:w="7777" w:type="dxa"/>
            <w:tcMar>
              <w:left w:w="45" w:type="dxa"/>
              <w:right w:w="45" w:type="dxa"/>
            </w:tcMar>
            <w:vAlign w:val="center"/>
          </w:tcPr>
          <w:p w14:paraId="00EC13F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（220）放射源储存库应设双人双锁，并有安全报警系统和视频监控系统。</w:t>
            </w:r>
          </w:p>
          <w:p w14:paraId="7BC7D5FB">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（221）</w:t>
            </w:r>
            <w:r>
              <w:rPr>
                <w:rFonts w:hint="default" w:ascii="Times New Roman" w:hAnsi="Times New Roman" w:eastAsia="仿宋_GB2312" w:cs="Times New Roman"/>
                <w:b/>
                <w:bCs/>
                <w:color w:val="auto"/>
                <w:kern w:val="0"/>
                <w:szCs w:val="21"/>
                <w:highlight w:val="none"/>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3C68EECD">
            <w:pPr>
              <w:spacing w:line="360" w:lineRule="auto"/>
              <w:rPr>
                <w:rFonts w:hint="default" w:ascii="Times New Roman" w:hAnsi="Times New Roman" w:eastAsia="仿宋_GB2312" w:cs="Times New Roman"/>
                <w:bCs/>
                <w:color w:val="auto"/>
                <w:kern w:val="0"/>
                <w:szCs w:val="21"/>
                <w:highlight w:val="none"/>
              </w:rPr>
            </w:pPr>
          </w:p>
        </w:tc>
      </w:tr>
      <w:tr w14:paraId="318A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77E24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11.2.2</w:t>
            </w:r>
          </w:p>
        </w:tc>
        <w:tc>
          <w:tcPr>
            <w:tcW w:w="3703" w:type="dxa"/>
            <w:tcMar>
              <w:left w:w="45" w:type="dxa"/>
              <w:right w:w="45" w:type="dxa"/>
            </w:tcMar>
            <w:vAlign w:val="center"/>
          </w:tcPr>
          <w:p w14:paraId="71317E6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辐射实验场所每年有合格的实验场所检测报告</w:t>
            </w:r>
          </w:p>
        </w:tc>
        <w:tc>
          <w:tcPr>
            <w:tcW w:w="7777" w:type="dxa"/>
            <w:tcMar>
              <w:left w:w="45" w:type="dxa"/>
              <w:right w:w="45" w:type="dxa"/>
            </w:tcMar>
            <w:vAlign w:val="center"/>
          </w:tcPr>
          <w:p w14:paraId="12CB6547">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（222）查</w:t>
            </w:r>
            <w:r>
              <w:rPr>
                <w:rFonts w:hint="default" w:ascii="Times New Roman" w:hAnsi="Times New Roman" w:eastAsia="仿宋_GB2312" w:cs="Times New Roman"/>
                <w:color w:val="auto"/>
                <w:kern w:val="0"/>
                <w:szCs w:val="21"/>
                <w:highlight w:val="none"/>
              </w:rPr>
              <w:t>看场所辐射环境监测报告</w:t>
            </w:r>
          </w:p>
        </w:tc>
        <w:tc>
          <w:tcPr>
            <w:tcW w:w="2543" w:type="dxa"/>
            <w:tcMar>
              <w:left w:w="45" w:type="dxa"/>
              <w:right w:w="45" w:type="dxa"/>
            </w:tcMar>
            <w:vAlign w:val="center"/>
          </w:tcPr>
          <w:p w14:paraId="1FF91442">
            <w:pPr>
              <w:spacing w:line="360" w:lineRule="auto"/>
              <w:rPr>
                <w:rFonts w:hint="default" w:ascii="Times New Roman" w:hAnsi="Times New Roman" w:eastAsia="仿宋_GB2312" w:cs="Times New Roman"/>
                <w:bCs/>
                <w:color w:val="auto"/>
                <w:kern w:val="0"/>
                <w:szCs w:val="21"/>
                <w:highlight w:val="none"/>
              </w:rPr>
            </w:pPr>
          </w:p>
        </w:tc>
      </w:tr>
      <w:tr w14:paraId="1DAF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42A8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11.2.3</w:t>
            </w:r>
          </w:p>
        </w:tc>
        <w:tc>
          <w:tcPr>
            <w:tcW w:w="3703" w:type="dxa"/>
            <w:tcMar>
              <w:left w:w="45" w:type="dxa"/>
              <w:right w:w="45" w:type="dxa"/>
            </w:tcMar>
            <w:vAlign w:val="center"/>
          </w:tcPr>
          <w:p w14:paraId="21116D6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放射性物质的转让、转移和运输应按规定报批</w:t>
            </w:r>
          </w:p>
        </w:tc>
        <w:tc>
          <w:tcPr>
            <w:tcW w:w="7777" w:type="dxa"/>
            <w:tcMar>
              <w:left w:w="45" w:type="dxa"/>
              <w:right w:w="45" w:type="dxa"/>
            </w:tcMar>
            <w:vAlign w:val="center"/>
          </w:tcPr>
          <w:p w14:paraId="349E6D1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（223）放射性物质转让、转移有学校及生态环境部门的审批备案材料，在野外使用放射性物质开展实验应事先取得实验所在地省级生态环境主管部门的批准。</w:t>
            </w:r>
          </w:p>
          <w:p w14:paraId="3CCB19E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（224）放射性物质的转移和运输有学校及公安部门的审批备案材料。</w:t>
            </w:r>
          </w:p>
          <w:p w14:paraId="56ADFFB2">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（225）放射性物质及射线装置储存和使用场所变更应重新开展环境影响评价</w:t>
            </w:r>
          </w:p>
        </w:tc>
        <w:tc>
          <w:tcPr>
            <w:tcW w:w="2543" w:type="dxa"/>
            <w:tcMar>
              <w:left w:w="45" w:type="dxa"/>
              <w:right w:w="45" w:type="dxa"/>
            </w:tcMar>
            <w:vAlign w:val="center"/>
          </w:tcPr>
          <w:p w14:paraId="6C3739C3">
            <w:pPr>
              <w:widowControl/>
              <w:spacing w:line="300" w:lineRule="exact"/>
              <w:rPr>
                <w:rFonts w:hint="default" w:ascii="Times New Roman" w:hAnsi="Times New Roman" w:eastAsia="仿宋_GB2312" w:cs="Times New Roman"/>
                <w:bCs/>
                <w:color w:val="auto"/>
                <w:kern w:val="0"/>
                <w:szCs w:val="21"/>
                <w:highlight w:val="none"/>
              </w:rPr>
            </w:pPr>
          </w:p>
        </w:tc>
      </w:tr>
      <w:tr w14:paraId="404D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B72281">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11.3</w:t>
            </w:r>
          </w:p>
        </w:tc>
        <w:tc>
          <w:tcPr>
            <w:tcW w:w="14023" w:type="dxa"/>
            <w:gridSpan w:val="3"/>
            <w:tcMar>
              <w:left w:w="45" w:type="dxa"/>
              <w:right w:w="45" w:type="dxa"/>
            </w:tcMar>
            <w:vAlign w:val="center"/>
          </w:tcPr>
          <w:p w14:paraId="18B3AEFE">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放射性实验安全及废物处置</w:t>
            </w:r>
          </w:p>
        </w:tc>
      </w:tr>
      <w:tr w14:paraId="404D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96E41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11.3.1</w:t>
            </w:r>
          </w:p>
        </w:tc>
        <w:tc>
          <w:tcPr>
            <w:tcW w:w="3703" w:type="dxa"/>
            <w:tcMar>
              <w:left w:w="45" w:type="dxa"/>
              <w:right w:w="45" w:type="dxa"/>
            </w:tcMar>
            <w:vAlign w:val="center"/>
          </w:tcPr>
          <w:p w14:paraId="22B8728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各类放射性装置有符合国家相关规定的操作规程、安保方案及应急预案，并遵照执行</w:t>
            </w:r>
          </w:p>
        </w:tc>
        <w:tc>
          <w:tcPr>
            <w:tcW w:w="7777" w:type="dxa"/>
            <w:tcMar>
              <w:left w:w="45" w:type="dxa"/>
              <w:right w:w="45" w:type="dxa"/>
            </w:tcMar>
            <w:vAlign w:val="center"/>
          </w:tcPr>
          <w:p w14:paraId="190DDB9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（226）</w:t>
            </w:r>
            <w:bookmarkStart w:id="1" w:name="_Hlk67119357"/>
            <w:r>
              <w:rPr>
                <w:rFonts w:hint="default" w:ascii="Times New Roman" w:hAnsi="Times New Roman" w:eastAsia="仿宋_GB2312" w:cs="Times New Roman"/>
                <w:color w:val="auto"/>
                <w:kern w:val="0"/>
                <w:szCs w:val="21"/>
                <w:highlight w:val="none"/>
              </w:rPr>
              <w:t>重点关注γ辐照、电子加速器、射线探伤仪、非密封放射性实验操作、V类以上的放射源实验操作。</w:t>
            </w:r>
          </w:p>
          <w:p w14:paraId="43AEEF93">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（227）查看辐射事故应急预案</w:t>
            </w:r>
            <w:bookmarkEnd w:id="1"/>
            <w:r>
              <w:rPr>
                <w:rFonts w:hint="default" w:ascii="Times New Roman" w:hAnsi="Times New Roman" w:eastAsia="仿宋_GB2312" w:cs="Times New Roman"/>
                <w:color w:val="auto"/>
                <w:kern w:val="0"/>
                <w:szCs w:val="21"/>
                <w:highlight w:val="none"/>
              </w:rPr>
              <w:t>及应急演练记录（每年不少于1次演练）</w:t>
            </w:r>
          </w:p>
        </w:tc>
        <w:tc>
          <w:tcPr>
            <w:tcW w:w="2543" w:type="dxa"/>
            <w:tcMar>
              <w:left w:w="45" w:type="dxa"/>
              <w:right w:w="45" w:type="dxa"/>
            </w:tcMar>
            <w:vAlign w:val="center"/>
          </w:tcPr>
          <w:p w14:paraId="2929B691">
            <w:pPr>
              <w:widowControl/>
              <w:spacing w:line="300" w:lineRule="exact"/>
              <w:rPr>
                <w:rFonts w:hint="default" w:ascii="Times New Roman" w:hAnsi="Times New Roman" w:eastAsia="仿宋_GB2312" w:cs="Times New Roman"/>
                <w:bCs/>
                <w:color w:val="auto"/>
                <w:kern w:val="0"/>
                <w:szCs w:val="21"/>
                <w:highlight w:val="none"/>
              </w:rPr>
            </w:pPr>
          </w:p>
        </w:tc>
      </w:tr>
      <w:tr w14:paraId="26C8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6DAA2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11.3.2</w:t>
            </w:r>
          </w:p>
        </w:tc>
        <w:tc>
          <w:tcPr>
            <w:tcW w:w="3703" w:type="dxa"/>
            <w:tcMar>
              <w:left w:w="45" w:type="dxa"/>
              <w:right w:w="45" w:type="dxa"/>
            </w:tcMar>
            <w:vAlign w:val="center"/>
          </w:tcPr>
          <w:p w14:paraId="1625E71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放射源及设备报废时有符合国家相关规定的处置方案或回收协议</w:t>
            </w:r>
          </w:p>
        </w:tc>
        <w:tc>
          <w:tcPr>
            <w:tcW w:w="7777" w:type="dxa"/>
            <w:tcMar>
              <w:left w:w="45" w:type="dxa"/>
              <w:right w:w="45" w:type="dxa"/>
            </w:tcMar>
            <w:vAlign w:val="center"/>
          </w:tcPr>
          <w:p w14:paraId="471F7BD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（228）中、长半衰期核素固液废物有符合国家相关规定的处置方案或回收协议，短半衰期核素固液废弃物放置10个半衰期经检测达标并经审管部门的批准可以作为普通废物处理，并有处置记录。</w:t>
            </w:r>
          </w:p>
          <w:p w14:paraId="1DDE5460">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highlight w:val="none"/>
              </w:rPr>
              <w:t>X光管报废时应破坏高压设备，拍照留存。</w:t>
            </w:r>
          </w:p>
          <w:p w14:paraId="7557B0F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bCs/>
                <w:color w:val="auto"/>
                <w:kern w:val="0"/>
                <w:szCs w:val="21"/>
                <w:highlight w:val="none"/>
              </w:rPr>
              <w:t>（230）</w:t>
            </w:r>
            <w:r>
              <w:rPr>
                <w:rFonts w:hint="default" w:ascii="Times New Roman" w:hAnsi="Times New Roman" w:eastAsia="仿宋_GB2312" w:cs="Times New Roman"/>
                <w:color w:val="auto"/>
                <w:kern w:val="0"/>
                <w:szCs w:val="21"/>
                <w:highlight w:val="none"/>
              </w:rPr>
              <w:t>涉源实验场所退役，须按国家相关规定执行</w:t>
            </w:r>
          </w:p>
        </w:tc>
        <w:tc>
          <w:tcPr>
            <w:tcW w:w="2543" w:type="dxa"/>
            <w:tcMar>
              <w:left w:w="45" w:type="dxa"/>
              <w:right w:w="45" w:type="dxa"/>
            </w:tcMar>
            <w:vAlign w:val="center"/>
          </w:tcPr>
          <w:p w14:paraId="402D5950">
            <w:pPr>
              <w:widowControl/>
              <w:spacing w:line="300" w:lineRule="exact"/>
              <w:rPr>
                <w:rFonts w:hint="default" w:ascii="Times New Roman" w:hAnsi="Times New Roman" w:eastAsia="仿宋_GB2312" w:cs="Times New Roman"/>
                <w:bCs/>
                <w:color w:val="auto"/>
                <w:kern w:val="0"/>
                <w:szCs w:val="21"/>
                <w:highlight w:val="none"/>
              </w:rPr>
            </w:pPr>
          </w:p>
        </w:tc>
      </w:tr>
      <w:tr w14:paraId="3BEB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AE2C9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11.3.3</w:t>
            </w:r>
          </w:p>
        </w:tc>
        <w:tc>
          <w:tcPr>
            <w:tcW w:w="3703" w:type="dxa"/>
            <w:tcMar>
              <w:left w:w="45" w:type="dxa"/>
              <w:right w:w="45" w:type="dxa"/>
            </w:tcMar>
            <w:vAlign w:val="center"/>
          </w:tcPr>
          <w:p w14:paraId="65F1999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放射性废物（源）应严加管理，不得作为普通废物处理，不得擅自处置</w:t>
            </w:r>
          </w:p>
        </w:tc>
        <w:tc>
          <w:tcPr>
            <w:tcW w:w="7777" w:type="dxa"/>
            <w:tcMar>
              <w:left w:w="45" w:type="dxa"/>
              <w:right w:w="45" w:type="dxa"/>
            </w:tcMar>
            <w:vAlign w:val="center"/>
          </w:tcPr>
          <w:p w14:paraId="009EE013">
            <w:pPr>
              <w:widowControl/>
              <w:spacing w:line="300" w:lineRule="exact"/>
              <w:rPr>
                <w:rFonts w:hint="default" w:ascii="Times New Roman" w:hAnsi="Times New Roman" w:eastAsia="仿宋_GB2312" w:cs="Times New Roman"/>
                <w:color w:val="auto"/>
                <w:kern w:val="0"/>
                <w:szCs w:val="21"/>
                <w:highlight w:val="none"/>
              </w:rPr>
            </w:pPr>
            <w:bookmarkStart w:id="2" w:name="_Hlk67118907"/>
            <w:r>
              <w:rPr>
                <w:rFonts w:hint="default" w:ascii="Times New Roman" w:hAnsi="Times New Roman" w:eastAsia="仿宋_GB2312" w:cs="Times New Roman"/>
                <w:color w:val="auto"/>
                <w:kern w:val="0"/>
                <w:szCs w:val="21"/>
                <w:highlight w:val="none"/>
              </w:rPr>
              <w:t>（231）相关实验室应当配置专门的放射性废物收集桶，放射性废液送贮前应进行固化整备。</w:t>
            </w:r>
          </w:p>
          <w:p w14:paraId="6A06E9A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（232）放射性废物应及时送交</w:t>
            </w:r>
            <w:bookmarkEnd w:id="2"/>
            <w:r>
              <w:rPr>
                <w:rFonts w:hint="default" w:ascii="Times New Roman" w:hAnsi="Times New Roman" w:eastAsia="仿宋_GB2312" w:cs="Times New Roman"/>
                <w:color w:val="auto"/>
                <w:kern w:val="0"/>
                <w:szCs w:val="21"/>
                <w:highlight w:val="none"/>
              </w:rPr>
              <w:t>有资质的放射性废物集中贮存单位贮存。</w:t>
            </w:r>
          </w:p>
          <w:p w14:paraId="263F9B9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（233）排放气态或液态放射性流出物应严格按照环评和地方生态环境部门批准的排放量和排放方式执行</w:t>
            </w:r>
          </w:p>
        </w:tc>
        <w:tc>
          <w:tcPr>
            <w:tcW w:w="2543" w:type="dxa"/>
            <w:tcMar>
              <w:left w:w="45" w:type="dxa"/>
              <w:right w:w="45" w:type="dxa"/>
            </w:tcMar>
            <w:vAlign w:val="center"/>
          </w:tcPr>
          <w:p w14:paraId="713FE96E">
            <w:pPr>
              <w:widowControl/>
              <w:spacing w:line="300" w:lineRule="exact"/>
              <w:rPr>
                <w:rFonts w:hint="default" w:ascii="Times New Roman" w:hAnsi="Times New Roman" w:eastAsia="仿宋_GB2312" w:cs="Times New Roman"/>
                <w:bCs/>
                <w:color w:val="auto"/>
                <w:kern w:val="0"/>
                <w:szCs w:val="21"/>
                <w:highlight w:val="none"/>
              </w:rPr>
            </w:pPr>
          </w:p>
        </w:tc>
      </w:tr>
      <w:tr w14:paraId="5670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D50F4">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12</w:t>
            </w:r>
          </w:p>
        </w:tc>
        <w:tc>
          <w:tcPr>
            <w:tcW w:w="14023" w:type="dxa"/>
            <w:gridSpan w:val="3"/>
            <w:tcMar>
              <w:left w:w="45" w:type="dxa"/>
              <w:right w:w="45" w:type="dxa"/>
            </w:tcMar>
            <w:vAlign w:val="center"/>
          </w:tcPr>
          <w:p w14:paraId="30876D12">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机电等安全</w:t>
            </w:r>
          </w:p>
        </w:tc>
      </w:tr>
      <w:tr w14:paraId="33A0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297C05">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12.1</w:t>
            </w:r>
          </w:p>
        </w:tc>
        <w:tc>
          <w:tcPr>
            <w:tcW w:w="14023" w:type="dxa"/>
            <w:gridSpan w:val="3"/>
            <w:tcMar>
              <w:left w:w="45" w:type="dxa"/>
              <w:right w:w="45" w:type="dxa"/>
            </w:tcMar>
            <w:vAlign w:val="center"/>
          </w:tcPr>
          <w:p w14:paraId="0987A3B6">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仪器设备常规管理</w:t>
            </w:r>
          </w:p>
        </w:tc>
      </w:tr>
      <w:tr w14:paraId="40D7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D3E4A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12.1.1</w:t>
            </w:r>
          </w:p>
        </w:tc>
        <w:tc>
          <w:tcPr>
            <w:tcW w:w="3703" w:type="dxa"/>
            <w:tcMar>
              <w:left w:w="45" w:type="dxa"/>
              <w:right w:w="45" w:type="dxa"/>
            </w:tcMar>
            <w:vAlign w:val="center"/>
          </w:tcPr>
          <w:p w14:paraId="12F6929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建立设备台账，设备上有资产标签，有明确的管理人员</w:t>
            </w:r>
          </w:p>
        </w:tc>
        <w:tc>
          <w:tcPr>
            <w:tcW w:w="7777" w:type="dxa"/>
            <w:tcMar>
              <w:left w:w="45" w:type="dxa"/>
              <w:right w:w="45" w:type="dxa"/>
            </w:tcMar>
            <w:vAlign w:val="center"/>
          </w:tcPr>
          <w:p w14:paraId="18634543">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color w:val="auto"/>
                <w:kern w:val="0"/>
                <w:szCs w:val="21"/>
                <w:highlight w:val="none"/>
              </w:rPr>
              <w:t>（234）查看资产标签、电子或纸质台账</w:t>
            </w:r>
          </w:p>
        </w:tc>
        <w:tc>
          <w:tcPr>
            <w:tcW w:w="2543" w:type="dxa"/>
            <w:tcMar>
              <w:left w:w="45" w:type="dxa"/>
              <w:right w:w="45" w:type="dxa"/>
            </w:tcMar>
            <w:vAlign w:val="center"/>
          </w:tcPr>
          <w:p w14:paraId="3364E5F8">
            <w:pPr>
              <w:widowControl/>
              <w:spacing w:line="300" w:lineRule="exact"/>
              <w:rPr>
                <w:rFonts w:hint="default" w:ascii="Times New Roman" w:hAnsi="Times New Roman" w:eastAsia="仿宋_GB2312" w:cs="Times New Roman"/>
                <w:b/>
                <w:bCs/>
                <w:color w:val="auto"/>
                <w:kern w:val="0"/>
                <w:szCs w:val="21"/>
                <w:highlight w:val="none"/>
              </w:rPr>
            </w:pPr>
          </w:p>
        </w:tc>
      </w:tr>
      <w:tr w14:paraId="2755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980C3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12.1.2</w:t>
            </w:r>
          </w:p>
        </w:tc>
        <w:tc>
          <w:tcPr>
            <w:tcW w:w="3703" w:type="dxa"/>
            <w:tcMar>
              <w:left w:w="45" w:type="dxa"/>
              <w:right w:w="45" w:type="dxa"/>
            </w:tcMar>
            <w:vAlign w:val="center"/>
          </w:tcPr>
          <w:p w14:paraId="56185C5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大型、特种设备的使用须符合相关规定</w:t>
            </w:r>
          </w:p>
        </w:tc>
        <w:tc>
          <w:tcPr>
            <w:tcW w:w="7777" w:type="dxa"/>
            <w:tcMar>
              <w:left w:w="45" w:type="dxa"/>
              <w:right w:w="45" w:type="dxa"/>
            </w:tcMar>
            <w:vAlign w:val="center"/>
          </w:tcPr>
          <w:p w14:paraId="7F9B335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（235）大型仪器设备、高功率的设备与电路容量相匹配，有设备运行维护记录，有安全操作规程或注意事项</w:t>
            </w:r>
          </w:p>
        </w:tc>
        <w:tc>
          <w:tcPr>
            <w:tcW w:w="2543" w:type="dxa"/>
            <w:tcMar>
              <w:left w:w="45" w:type="dxa"/>
              <w:right w:w="45" w:type="dxa"/>
            </w:tcMar>
            <w:vAlign w:val="center"/>
          </w:tcPr>
          <w:p w14:paraId="000DAA96">
            <w:pPr>
              <w:widowControl/>
              <w:spacing w:line="300" w:lineRule="exact"/>
              <w:rPr>
                <w:rFonts w:hint="default" w:ascii="Times New Roman" w:hAnsi="Times New Roman" w:eastAsia="仿宋_GB2312" w:cs="Times New Roman"/>
                <w:b/>
                <w:bCs/>
                <w:color w:val="auto"/>
                <w:kern w:val="0"/>
                <w:szCs w:val="21"/>
                <w:highlight w:val="none"/>
              </w:rPr>
            </w:pPr>
          </w:p>
        </w:tc>
      </w:tr>
      <w:tr w14:paraId="27BE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763CA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12.1.3</w:t>
            </w:r>
          </w:p>
        </w:tc>
        <w:tc>
          <w:tcPr>
            <w:tcW w:w="3703" w:type="dxa"/>
            <w:tcMar>
              <w:left w:w="45" w:type="dxa"/>
              <w:right w:w="45" w:type="dxa"/>
            </w:tcMar>
            <w:vAlign w:val="center"/>
          </w:tcPr>
          <w:p w14:paraId="5B0204E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仪器设备的接地和用电符合相关要求</w:t>
            </w:r>
          </w:p>
        </w:tc>
        <w:tc>
          <w:tcPr>
            <w:tcW w:w="7777" w:type="dxa"/>
            <w:tcMar>
              <w:left w:w="45" w:type="dxa"/>
              <w:right w:w="45" w:type="dxa"/>
            </w:tcMar>
            <w:vAlign w:val="center"/>
          </w:tcPr>
          <w:p w14:paraId="7783B04A">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（236）仪器设备接地系统应按规范要求，采用铜质材料，接地电阻一般不高于4Ω。</w:t>
            </w:r>
          </w:p>
          <w:p w14:paraId="120F0FE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（237）电脑、空调、电加热器等不随意开机过夜。</w:t>
            </w:r>
            <w:r>
              <w:rPr>
                <w:rFonts w:hint="default" w:ascii="Times New Roman" w:hAnsi="Times New Roman" w:eastAsia="仿宋_GB2312" w:cs="Times New Roman"/>
                <w:color w:val="auto"/>
                <w:kern w:val="0"/>
                <w:szCs w:val="21"/>
                <w:highlight w:val="none"/>
              </w:rPr>
              <w:t>对于不能断电的特殊仪器设备，采取必要的防护措施（如双路供电、不间断电源、监控报警等）</w:t>
            </w:r>
          </w:p>
        </w:tc>
        <w:tc>
          <w:tcPr>
            <w:tcW w:w="2543" w:type="dxa"/>
            <w:tcMar>
              <w:left w:w="45" w:type="dxa"/>
              <w:right w:w="45" w:type="dxa"/>
            </w:tcMar>
            <w:vAlign w:val="center"/>
          </w:tcPr>
          <w:p w14:paraId="66E2D97A">
            <w:pPr>
              <w:widowControl/>
              <w:spacing w:line="300" w:lineRule="exact"/>
              <w:rPr>
                <w:rFonts w:hint="default" w:ascii="Times New Roman" w:hAnsi="Times New Roman" w:eastAsia="仿宋_GB2312" w:cs="Times New Roman"/>
                <w:b/>
                <w:bCs/>
                <w:color w:val="auto"/>
                <w:kern w:val="0"/>
                <w:szCs w:val="21"/>
                <w:highlight w:val="none"/>
              </w:rPr>
            </w:pPr>
          </w:p>
        </w:tc>
      </w:tr>
      <w:tr w14:paraId="0C49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96F0D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12.1.4</w:t>
            </w:r>
          </w:p>
        </w:tc>
        <w:tc>
          <w:tcPr>
            <w:tcW w:w="3703" w:type="dxa"/>
            <w:tcMar>
              <w:left w:w="45" w:type="dxa"/>
              <w:right w:w="45" w:type="dxa"/>
            </w:tcMar>
            <w:vAlign w:val="center"/>
          </w:tcPr>
          <w:p w14:paraId="79A28766">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特殊设备应配备相应的安全防护措施</w:t>
            </w:r>
          </w:p>
        </w:tc>
        <w:tc>
          <w:tcPr>
            <w:tcW w:w="7777" w:type="dxa"/>
            <w:tcMar>
              <w:left w:w="45" w:type="dxa"/>
              <w:right w:w="45" w:type="dxa"/>
            </w:tcMar>
            <w:vAlign w:val="center"/>
          </w:tcPr>
          <w:p w14:paraId="6B315AB3">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（238）关注高温、高压、高速运动、电磁辐射等特殊设备，对使用者有培训要求，有安全警示标识和</w:t>
            </w:r>
            <w:r>
              <w:rPr>
                <w:rFonts w:hint="default" w:ascii="Times New Roman" w:hAnsi="Times New Roman" w:eastAsia="仿宋_GB2312" w:cs="Times New Roman"/>
                <w:color w:val="auto"/>
                <w:szCs w:val="21"/>
                <w:highlight w:val="none"/>
              </w:rPr>
              <w:t>安全警示线（黄色），设备安全防护措施完好。</w:t>
            </w:r>
          </w:p>
          <w:p w14:paraId="5F716E9A">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szCs w:val="21"/>
                <w:highlight w:val="none"/>
              </w:rPr>
              <w:t>（239）</w:t>
            </w:r>
            <w:r>
              <w:rPr>
                <w:rFonts w:hint="default" w:ascii="Times New Roman" w:hAnsi="Times New Roman" w:eastAsia="仿宋_GB2312" w:cs="Times New Roman"/>
                <w:b/>
                <w:bCs/>
                <w:color w:val="auto"/>
                <w:kern w:val="0"/>
                <w:szCs w:val="21"/>
                <w:highlight w:val="none"/>
              </w:rPr>
              <w:t>非标准设备、自制设备应经安全论证合格后方可使用，须充分考虑安全系数，并有安全防护措施</w:t>
            </w:r>
          </w:p>
        </w:tc>
        <w:tc>
          <w:tcPr>
            <w:tcW w:w="2543" w:type="dxa"/>
            <w:tcMar>
              <w:left w:w="45" w:type="dxa"/>
              <w:right w:w="45" w:type="dxa"/>
            </w:tcMar>
            <w:vAlign w:val="center"/>
          </w:tcPr>
          <w:p w14:paraId="1DACE13D">
            <w:pPr>
              <w:widowControl/>
              <w:spacing w:line="300" w:lineRule="exact"/>
              <w:rPr>
                <w:rFonts w:hint="default" w:ascii="Times New Roman" w:hAnsi="Times New Roman" w:eastAsia="仿宋_GB2312" w:cs="Times New Roman"/>
                <w:bCs/>
                <w:color w:val="auto"/>
                <w:kern w:val="0"/>
                <w:szCs w:val="21"/>
                <w:highlight w:val="none"/>
              </w:rPr>
            </w:pPr>
          </w:p>
        </w:tc>
      </w:tr>
      <w:tr w14:paraId="3E63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5BBA69">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12.2</w:t>
            </w:r>
          </w:p>
        </w:tc>
        <w:tc>
          <w:tcPr>
            <w:tcW w:w="14023" w:type="dxa"/>
            <w:gridSpan w:val="3"/>
            <w:tcMar>
              <w:left w:w="45" w:type="dxa"/>
              <w:right w:w="45" w:type="dxa"/>
            </w:tcMar>
            <w:vAlign w:val="center"/>
          </w:tcPr>
          <w:p w14:paraId="370B0FA2">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机械安全</w:t>
            </w:r>
          </w:p>
        </w:tc>
      </w:tr>
      <w:tr w14:paraId="2368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BB9AB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12.2.1</w:t>
            </w:r>
          </w:p>
        </w:tc>
        <w:tc>
          <w:tcPr>
            <w:tcW w:w="3703" w:type="dxa"/>
            <w:tcMar>
              <w:left w:w="45" w:type="dxa"/>
              <w:right w:w="45" w:type="dxa"/>
            </w:tcMar>
            <w:vAlign w:val="center"/>
          </w:tcPr>
          <w:p w14:paraId="372BDDD6">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机械设备应保持清洁整齐，可靠接地</w:t>
            </w:r>
          </w:p>
        </w:tc>
        <w:tc>
          <w:tcPr>
            <w:tcW w:w="7777" w:type="dxa"/>
            <w:tcMar>
              <w:left w:w="45" w:type="dxa"/>
              <w:right w:w="45" w:type="dxa"/>
            </w:tcMar>
            <w:vAlign w:val="center"/>
          </w:tcPr>
          <w:p w14:paraId="28EA35C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（240）机床应保持清洁整齐，严禁在床头、床面、刀架上放置物品。</w:t>
            </w:r>
          </w:p>
          <w:p w14:paraId="3C1E07B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671B751C">
            <w:pPr>
              <w:widowControl/>
              <w:spacing w:line="300" w:lineRule="exact"/>
              <w:rPr>
                <w:rFonts w:hint="default" w:ascii="Times New Roman" w:hAnsi="Times New Roman" w:eastAsia="仿宋_GB2312" w:cs="Times New Roman"/>
                <w:bCs/>
                <w:color w:val="auto"/>
                <w:kern w:val="0"/>
                <w:szCs w:val="21"/>
                <w:highlight w:val="none"/>
              </w:rPr>
            </w:pPr>
          </w:p>
        </w:tc>
      </w:tr>
      <w:tr w14:paraId="1307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DEA54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12.2.2</w:t>
            </w:r>
          </w:p>
        </w:tc>
        <w:tc>
          <w:tcPr>
            <w:tcW w:w="3703" w:type="dxa"/>
            <w:tcMar>
              <w:left w:w="45" w:type="dxa"/>
              <w:right w:w="45" w:type="dxa"/>
            </w:tcMar>
            <w:vAlign w:val="center"/>
          </w:tcPr>
          <w:p w14:paraId="55763D7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操作机械设备时实验人员应做好个体防护</w:t>
            </w:r>
          </w:p>
        </w:tc>
        <w:tc>
          <w:tcPr>
            <w:tcW w:w="7777" w:type="dxa"/>
            <w:tcMar>
              <w:left w:w="45" w:type="dxa"/>
              <w:right w:w="45" w:type="dxa"/>
            </w:tcMar>
            <w:vAlign w:val="center"/>
          </w:tcPr>
          <w:p w14:paraId="34203D45">
            <w:pPr>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（242）个体防护用品要穿戴齐全，如工作服、工作帽、工作鞋、防护眼镜等。操作冷加工设备时必须穿“三紧式”工作服，不能留长发（长发要盘在工作帽内），禁止戴手套。</w:t>
            </w:r>
          </w:p>
          <w:p w14:paraId="53DB5E66">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highlight w:val="none"/>
              </w:rPr>
              <w:t>（243）</w:t>
            </w:r>
            <w:r>
              <w:rPr>
                <w:rFonts w:hint="default" w:ascii="Times New Roman" w:hAnsi="Times New Roman" w:eastAsia="仿宋_GB2312" w:cs="Times New Roman"/>
                <w:color w:val="auto"/>
                <w:kern w:val="0"/>
                <w:szCs w:val="21"/>
                <w:highlight w:val="none"/>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highlight w:val="none"/>
              </w:rPr>
              <w:t>必须将长发盘在工作帽内</w:t>
            </w:r>
            <w:r>
              <w:rPr>
                <w:rFonts w:hint="default" w:ascii="Times New Roman" w:hAnsi="Times New Roman" w:eastAsia="仿宋_GB2312" w:cs="Times New Roman"/>
                <w:color w:val="auto"/>
                <w:kern w:val="0"/>
                <w:szCs w:val="21"/>
                <w:highlight w:val="none"/>
              </w:rPr>
              <w:t>），禁止戴手套、长围巾、领带、手镯等配饰物，禁止穿拖鞋、高跟鞋等。设备运转时严禁用手调整工件</w:t>
            </w:r>
          </w:p>
        </w:tc>
        <w:tc>
          <w:tcPr>
            <w:tcW w:w="2543" w:type="dxa"/>
            <w:tcMar>
              <w:left w:w="45" w:type="dxa"/>
              <w:right w:w="45" w:type="dxa"/>
            </w:tcMar>
            <w:vAlign w:val="center"/>
          </w:tcPr>
          <w:p w14:paraId="21C16332">
            <w:pPr>
              <w:widowControl/>
              <w:spacing w:line="300" w:lineRule="exact"/>
              <w:rPr>
                <w:rFonts w:hint="default" w:ascii="Times New Roman" w:hAnsi="Times New Roman" w:eastAsia="仿宋_GB2312" w:cs="Times New Roman"/>
                <w:bCs/>
                <w:color w:val="auto"/>
                <w:kern w:val="0"/>
                <w:szCs w:val="21"/>
                <w:highlight w:val="none"/>
              </w:rPr>
            </w:pPr>
          </w:p>
        </w:tc>
      </w:tr>
      <w:tr w14:paraId="677A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CE094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12.2.3</w:t>
            </w:r>
          </w:p>
        </w:tc>
        <w:tc>
          <w:tcPr>
            <w:tcW w:w="3703" w:type="dxa"/>
            <w:tcMar>
              <w:left w:w="45" w:type="dxa"/>
              <w:right w:w="45" w:type="dxa"/>
            </w:tcMar>
            <w:vAlign w:val="center"/>
          </w:tcPr>
          <w:p w14:paraId="5647873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铸锻及热处理实验应满足场地和防护要求</w:t>
            </w:r>
          </w:p>
        </w:tc>
        <w:tc>
          <w:tcPr>
            <w:tcW w:w="7777" w:type="dxa"/>
            <w:tcMar>
              <w:left w:w="45" w:type="dxa"/>
              <w:right w:w="45" w:type="dxa"/>
            </w:tcMar>
            <w:vAlign w:val="center"/>
          </w:tcPr>
          <w:p w14:paraId="111C3F2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（244）铸造实验场地宽敞、通道畅通，使用设备前，操作者要按要求穿戴好防护用品。</w:t>
            </w:r>
          </w:p>
          <w:p w14:paraId="03B0592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（245）盐浴炉加热零件必须预先烘干，并用铁丝绑牢，缓慢放入炉中，以防盐液炸崩烫伤。</w:t>
            </w:r>
          </w:p>
          <w:p w14:paraId="1F59ACD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（246）淬火油槽不得有水，油量不能过少，以免发生火灾。</w:t>
            </w:r>
          </w:p>
          <w:p w14:paraId="4E47EB3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（247）与铁水接触的一切工具，使用前必须加热，严禁将冷的工具伸入铁水内，以免引起爆炸。</w:t>
            </w:r>
          </w:p>
          <w:p w14:paraId="3816E77C">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color w:val="auto"/>
                <w:kern w:val="0"/>
                <w:szCs w:val="21"/>
                <w:highlight w:val="none"/>
              </w:rPr>
              <w:t>（248）锻压设备不得空打或大力敲打过薄锻件，锻造时锻件应达到850 ℃以上，锻锤空置时应垫有木块</w:t>
            </w:r>
          </w:p>
        </w:tc>
        <w:tc>
          <w:tcPr>
            <w:tcW w:w="2543" w:type="dxa"/>
            <w:tcMar>
              <w:left w:w="45" w:type="dxa"/>
              <w:right w:w="45" w:type="dxa"/>
            </w:tcMar>
            <w:vAlign w:val="center"/>
          </w:tcPr>
          <w:p w14:paraId="61BB3F5C">
            <w:pPr>
              <w:widowControl/>
              <w:spacing w:line="300" w:lineRule="exact"/>
              <w:rPr>
                <w:rFonts w:hint="default" w:ascii="Times New Roman" w:hAnsi="Times New Roman" w:eastAsia="仿宋_GB2312" w:cs="Times New Roman"/>
                <w:b/>
                <w:bCs/>
                <w:color w:val="auto"/>
                <w:kern w:val="0"/>
                <w:szCs w:val="21"/>
                <w:highlight w:val="none"/>
              </w:rPr>
            </w:pPr>
          </w:p>
        </w:tc>
      </w:tr>
      <w:tr w14:paraId="2FDE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4949CF">
            <w:pPr>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12.2.4</w:t>
            </w:r>
          </w:p>
        </w:tc>
        <w:tc>
          <w:tcPr>
            <w:tcW w:w="3703" w:type="dxa"/>
            <w:tcMar>
              <w:left w:w="45" w:type="dxa"/>
              <w:right w:w="45" w:type="dxa"/>
            </w:tcMar>
            <w:vAlign w:val="center"/>
          </w:tcPr>
          <w:p w14:paraId="47A16D4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高处作业应符合相关操作规程</w:t>
            </w:r>
          </w:p>
        </w:tc>
        <w:tc>
          <w:tcPr>
            <w:tcW w:w="7777" w:type="dxa"/>
            <w:tcMar>
              <w:left w:w="45" w:type="dxa"/>
              <w:right w:w="45" w:type="dxa"/>
            </w:tcMar>
            <w:vAlign w:val="center"/>
          </w:tcPr>
          <w:p w14:paraId="16E9356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（249）在坠落高度基准面2m及以上有可能坠落的高处进行作业，须穿防滑鞋、佩戴安全帽、使用安全带。</w:t>
            </w:r>
          </w:p>
          <w:p w14:paraId="0BB25B4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（250）临边作业须在临空一侧设置防护栏杆，有相关安全操作规程</w:t>
            </w:r>
          </w:p>
        </w:tc>
        <w:tc>
          <w:tcPr>
            <w:tcW w:w="2543" w:type="dxa"/>
            <w:tcMar>
              <w:left w:w="45" w:type="dxa"/>
              <w:right w:w="45" w:type="dxa"/>
            </w:tcMar>
            <w:vAlign w:val="center"/>
          </w:tcPr>
          <w:p w14:paraId="546488BC">
            <w:pPr>
              <w:widowControl/>
              <w:spacing w:line="300" w:lineRule="exact"/>
              <w:rPr>
                <w:rFonts w:hint="default" w:ascii="Times New Roman" w:hAnsi="Times New Roman" w:eastAsia="仿宋_GB2312" w:cs="Times New Roman"/>
                <w:bCs/>
                <w:color w:val="auto"/>
                <w:kern w:val="0"/>
                <w:szCs w:val="21"/>
                <w:highlight w:val="none"/>
              </w:rPr>
            </w:pPr>
          </w:p>
        </w:tc>
      </w:tr>
      <w:tr w14:paraId="3794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2B0FC2">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12.3</w:t>
            </w:r>
          </w:p>
        </w:tc>
        <w:tc>
          <w:tcPr>
            <w:tcW w:w="14023" w:type="dxa"/>
            <w:gridSpan w:val="3"/>
            <w:tcMar>
              <w:left w:w="45" w:type="dxa"/>
              <w:right w:w="45" w:type="dxa"/>
            </w:tcMar>
            <w:vAlign w:val="center"/>
          </w:tcPr>
          <w:p w14:paraId="60084038">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电气安全</w:t>
            </w:r>
          </w:p>
        </w:tc>
      </w:tr>
      <w:tr w14:paraId="4A8E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0F87D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12.3.1</w:t>
            </w:r>
          </w:p>
        </w:tc>
        <w:tc>
          <w:tcPr>
            <w:tcW w:w="3703" w:type="dxa"/>
            <w:tcMar>
              <w:left w:w="45" w:type="dxa"/>
              <w:right w:w="45" w:type="dxa"/>
            </w:tcMar>
            <w:vAlign w:val="center"/>
          </w:tcPr>
          <w:p w14:paraId="43DB5C0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电气设备的使用应符合用电安全规范</w:t>
            </w:r>
          </w:p>
        </w:tc>
        <w:tc>
          <w:tcPr>
            <w:tcW w:w="7777" w:type="dxa"/>
            <w:tcMar>
              <w:left w:w="45" w:type="dxa"/>
              <w:right w:w="45" w:type="dxa"/>
            </w:tcMar>
            <w:vAlign w:val="center"/>
          </w:tcPr>
          <w:p w14:paraId="516694B1">
            <w:pPr>
              <w:widowControl/>
              <w:tabs>
                <w:tab w:val="left" w:pos="4321"/>
              </w:tabs>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（251）各种电气设备及电线应始终保持干燥，防止浸湿，以防短路引起火灾或烧坏电气设备。</w:t>
            </w:r>
          </w:p>
          <w:p w14:paraId="676338D1">
            <w:pPr>
              <w:widowControl/>
              <w:tabs>
                <w:tab w:val="left" w:pos="4321"/>
              </w:tabs>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（252）</w:t>
            </w:r>
            <w:r>
              <w:rPr>
                <w:rFonts w:hint="default" w:ascii="Times New Roman" w:hAnsi="Times New Roman" w:eastAsia="仿宋_GB2312" w:cs="Times New Roman"/>
                <w:color w:val="auto"/>
                <w:szCs w:val="21"/>
                <w:highlight w:val="none"/>
              </w:rPr>
              <w:t>实验室内的功能间墙面都应设有专用接地母排，并设有多点接地引出端。</w:t>
            </w:r>
          </w:p>
          <w:p w14:paraId="6487A70E">
            <w:pPr>
              <w:widowControl/>
              <w:tabs>
                <w:tab w:val="left" w:pos="4321"/>
              </w:tabs>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（253）高压、大电流等强电实验室</w:t>
            </w:r>
            <w:r>
              <w:rPr>
                <w:rFonts w:hint="default" w:ascii="Times New Roman" w:hAnsi="Times New Roman" w:eastAsia="仿宋_GB2312" w:cs="Times New Roman"/>
                <w:color w:val="auto"/>
                <w:kern w:val="0"/>
                <w:szCs w:val="21"/>
                <w:highlight w:val="none"/>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highlight w:val="none"/>
              </w:rPr>
              <w:t>高度不低于2m</w:t>
            </w:r>
            <w:r>
              <w:rPr>
                <w:rFonts w:hint="default" w:ascii="Times New Roman" w:hAnsi="Times New Roman" w:eastAsia="仿宋_GB2312" w:cs="Times New Roman"/>
                <w:color w:val="auto"/>
                <w:kern w:val="0"/>
                <w:szCs w:val="21"/>
                <w:highlight w:val="none"/>
              </w:rPr>
              <w:t>）。</w:t>
            </w:r>
          </w:p>
          <w:p w14:paraId="4320AAF6">
            <w:pPr>
              <w:widowControl/>
              <w:tabs>
                <w:tab w:val="left" w:pos="4321"/>
              </w:tabs>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（254）控制室（控制台）应铺橡胶、绝缘垫等。</w:t>
            </w:r>
          </w:p>
          <w:p w14:paraId="574B8844">
            <w:pPr>
              <w:widowControl/>
              <w:tabs>
                <w:tab w:val="left" w:pos="4321"/>
              </w:tabs>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（255）</w:t>
            </w:r>
            <w:r>
              <w:rPr>
                <w:rFonts w:hint="default" w:ascii="Times New Roman" w:hAnsi="Times New Roman" w:eastAsia="仿宋_GB2312" w:cs="Times New Roman"/>
                <w:color w:val="auto"/>
                <w:szCs w:val="21"/>
                <w:highlight w:val="none"/>
              </w:rPr>
              <w:t>强电实验室禁止存放易燃、易爆、易腐品，保持通风散热。</w:t>
            </w:r>
          </w:p>
          <w:p w14:paraId="07B77DEF">
            <w:pPr>
              <w:widowControl/>
              <w:tabs>
                <w:tab w:val="left" w:pos="4321"/>
              </w:tabs>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（256）应为设备配备残余电流泄放专用的接地系统。</w:t>
            </w:r>
          </w:p>
          <w:p w14:paraId="2566FC83">
            <w:pPr>
              <w:widowControl/>
              <w:tabs>
                <w:tab w:val="left" w:pos="4321"/>
              </w:tabs>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（257）禁止在有可燃气体泄露隐患的环境中使用电动工具；电烙铁有专门的搁架，用毕立即切断电源。</w:t>
            </w:r>
          </w:p>
          <w:p w14:paraId="7AF1FA63">
            <w:pPr>
              <w:widowControl/>
              <w:tabs>
                <w:tab w:val="left" w:pos="4321"/>
              </w:tabs>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Cs w:val="21"/>
                <w:highlight w:val="none"/>
              </w:rPr>
              <w:t>（258）强磁设备应配备与大地相连的金属屏蔽网</w:t>
            </w:r>
          </w:p>
        </w:tc>
        <w:tc>
          <w:tcPr>
            <w:tcW w:w="2543" w:type="dxa"/>
            <w:tcMar>
              <w:left w:w="45" w:type="dxa"/>
              <w:right w:w="45" w:type="dxa"/>
            </w:tcMar>
            <w:vAlign w:val="center"/>
          </w:tcPr>
          <w:p w14:paraId="301FAF23">
            <w:pPr>
              <w:widowControl/>
              <w:spacing w:line="300" w:lineRule="exact"/>
              <w:rPr>
                <w:rFonts w:hint="default" w:ascii="Times New Roman" w:hAnsi="Times New Roman" w:eastAsia="仿宋_GB2312" w:cs="Times New Roman"/>
                <w:b/>
                <w:bCs/>
                <w:color w:val="auto"/>
                <w:kern w:val="0"/>
                <w:szCs w:val="21"/>
                <w:highlight w:val="none"/>
              </w:rPr>
            </w:pPr>
          </w:p>
        </w:tc>
      </w:tr>
      <w:tr w14:paraId="706E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80CD7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12.3.2</w:t>
            </w:r>
          </w:p>
        </w:tc>
        <w:tc>
          <w:tcPr>
            <w:tcW w:w="3703" w:type="dxa"/>
            <w:tcMar>
              <w:left w:w="45" w:type="dxa"/>
              <w:right w:w="45" w:type="dxa"/>
            </w:tcMar>
            <w:vAlign w:val="center"/>
          </w:tcPr>
          <w:p w14:paraId="54573F4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操作电气设备应配备合适的防护器具</w:t>
            </w:r>
          </w:p>
        </w:tc>
        <w:tc>
          <w:tcPr>
            <w:tcW w:w="7777" w:type="dxa"/>
            <w:tcMar>
              <w:left w:w="45" w:type="dxa"/>
              <w:right w:w="45" w:type="dxa"/>
            </w:tcMar>
            <w:vAlign w:val="center"/>
          </w:tcPr>
          <w:p w14:paraId="3224241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highlight w:val="none"/>
              </w:rPr>
              <w:t>静电场所要保持空气湿润，工作人员要穿戴防静电服、手套和鞋靴</w:t>
            </w:r>
          </w:p>
        </w:tc>
        <w:tc>
          <w:tcPr>
            <w:tcW w:w="2543" w:type="dxa"/>
            <w:tcMar>
              <w:left w:w="45" w:type="dxa"/>
              <w:right w:w="45" w:type="dxa"/>
            </w:tcMar>
            <w:vAlign w:val="center"/>
          </w:tcPr>
          <w:p w14:paraId="2F8A871D">
            <w:pPr>
              <w:widowControl/>
              <w:spacing w:line="300" w:lineRule="exact"/>
              <w:rPr>
                <w:rFonts w:hint="default" w:ascii="Times New Roman" w:hAnsi="Times New Roman" w:eastAsia="仿宋_GB2312" w:cs="Times New Roman"/>
                <w:b/>
                <w:bCs/>
                <w:color w:val="auto"/>
                <w:kern w:val="0"/>
                <w:szCs w:val="21"/>
                <w:highlight w:val="none"/>
              </w:rPr>
            </w:pPr>
          </w:p>
        </w:tc>
      </w:tr>
      <w:tr w14:paraId="6D62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A00FC8">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12.4</w:t>
            </w:r>
          </w:p>
        </w:tc>
        <w:tc>
          <w:tcPr>
            <w:tcW w:w="14023" w:type="dxa"/>
            <w:gridSpan w:val="3"/>
            <w:tcMar>
              <w:left w:w="45" w:type="dxa"/>
              <w:right w:w="45" w:type="dxa"/>
            </w:tcMar>
            <w:vAlign w:val="center"/>
          </w:tcPr>
          <w:p w14:paraId="6D8A4ABD">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激光安全</w:t>
            </w:r>
          </w:p>
        </w:tc>
      </w:tr>
      <w:tr w14:paraId="30BE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B5D4E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12.4.1</w:t>
            </w:r>
          </w:p>
        </w:tc>
        <w:tc>
          <w:tcPr>
            <w:tcW w:w="3703" w:type="dxa"/>
            <w:tcMar>
              <w:left w:w="45" w:type="dxa"/>
              <w:right w:w="45" w:type="dxa"/>
            </w:tcMar>
            <w:vAlign w:val="center"/>
          </w:tcPr>
          <w:p w14:paraId="22B6BD5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bCs/>
                <w:color w:val="auto"/>
                <w:kern w:val="0"/>
                <w:szCs w:val="21"/>
                <w:highlight w:val="none"/>
              </w:rPr>
              <w:t>激光实验室配有完备的安全屏蔽设施</w:t>
            </w:r>
          </w:p>
        </w:tc>
        <w:tc>
          <w:tcPr>
            <w:tcW w:w="7777" w:type="dxa"/>
            <w:tcMar>
              <w:left w:w="45" w:type="dxa"/>
              <w:right w:w="45" w:type="dxa"/>
            </w:tcMar>
            <w:vAlign w:val="center"/>
          </w:tcPr>
          <w:p w14:paraId="578AE815">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（260）功率较大的激光器有互锁装置、防护罩，激光照射方向不会对他人造成伤害，防止激光发射口及反射镜上扬</w:t>
            </w:r>
          </w:p>
        </w:tc>
        <w:tc>
          <w:tcPr>
            <w:tcW w:w="2543" w:type="dxa"/>
            <w:tcMar>
              <w:left w:w="45" w:type="dxa"/>
              <w:right w:w="45" w:type="dxa"/>
            </w:tcMar>
            <w:vAlign w:val="center"/>
          </w:tcPr>
          <w:p w14:paraId="06F644ED">
            <w:pPr>
              <w:widowControl/>
              <w:spacing w:line="300" w:lineRule="exact"/>
              <w:rPr>
                <w:rFonts w:hint="default" w:ascii="Times New Roman" w:hAnsi="Times New Roman" w:eastAsia="仿宋_GB2312" w:cs="Times New Roman"/>
                <w:b/>
                <w:bCs/>
                <w:color w:val="auto"/>
                <w:kern w:val="0"/>
                <w:szCs w:val="21"/>
                <w:highlight w:val="none"/>
              </w:rPr>
            </w:pPr>
          </w:p>
        </w:tc>
      </w:tr>
      <w:tr w14:paraId="5C8A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2431D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12.4.2</w:t>
            </w:r>
          </w:p>
        </w:tc>
        <w:tc>
          <w:tcPr>
            <w:tcW w:w="3703" w:type="dxa"/>
            <w:tcMar>
              <w:left w:w="45" w:type="dxa"/>
              <w:right w:w="45" w:type="dxa"/>
            </w:tcMar>
            <w:vAlign w:val="center"/>
          </w:tcPr>
          <w:p w14:paraId="7897BA0C">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进行激光实验时须佩戴合适的个体防护用具</w:t>
            </w:r>
          </w:p>
        </w:tc>
        <w:tc>
          <w:tcPr>
            <w:tcW w:w="7777" w:type="dxa"/>
            <w:tcMar>
              <w:left w:w="45" w:type="dxa"/>
              <w:right w:w="45" w:type="dxa"/>
            </w:tcMar>
            <w:vAlign w:val="center"/>
          </w:tcPr>
          <w:p w14:paraId="6FC9551E">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（261）操作人员佩戴防护眼镜等防护用品、不戴手表等能反光的物品，</w:t>
            </w:r>
            <w:r>
              <w:rPr>
                <w:rFonts w:hint="default" w:ascii="Times New Roman" w:hAnsi="Times New Roman" w:eastAsia="仿宋_GB2312" w:cs="Times New Roman"/>
                <w:color w:val="auto"/>
                <w:szCs w:val="21"/>
                <w:highlight w:val="none"/>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highlight w:val="none"/>
              </w:rPr>
              <w:t>禁止用眼睛检查激光器故障，检查激光器必须在断电情况下进行</w:t>
            </w:r>
          </w:p>
        </w:tc>
        <w:tc>
          <w:tcPr>
            <w:tcW w:w="2543" w:type="dxa"/>
            <w:tcMar>
              <w:left w:w="45" w:type="dxa"/>
              <w:right w:w="45" w:type="dxa"/>
            </w:tcMar>
            <w:vAlign w:val="center"/>
          </w:tcPr>
          <w:p w14:paraId="19D35C5B">
            <w:pPr>
              <w:widowControl/>
              <w:spacing w:line="300" w:lineRule="exact"/>
              <w:rPr>
                <w:rFonts w:hint="default" w:ascii="Times New Roman" w:hAnsi="Times New Roman" w:eastAsia="仿宋_GB2312" w:cs="Times New Roman"/>
                <w:b/>
                <w:bCs/>
                <w:color w:val="auto"/>
                <w:kern w:val="0"/>
                <w:szCs w:val="21"/>
                <w:highlight w:val="none"/>
              </w:rPr>
            </w:pPr>
          </w:p>
        </w:tc>
      </w:tr>
      <w:tr w14:paraId="5367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6664A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12.4.3</w:t>
            </w:r>
          </w:p>
        </w:tc>
        <w:tc>
          <w:tcPr>
            <w:tcW w:w="3703" w:type="dxa"/>
            <w:tcMar>
              <w:left w:w="45" w:type="dxa"/>
              <w:right w:w="45" w:type="dxa"/>
            </w:tcMar>
            <w:vAlign w:val="center"/>
          </w:tcPr>
          <w:p w14:paraId="312F2BDD">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警告标识</w:t>
            </w:r>
          </w:p>
        </w:tc>
        <w:tc>
          <w:tcPr>
            <w:tcW w:w="7777" w:type="dxa"/>
            <w:tcMar>
              <w:left w:w="45" w:type="dxa"/>
              <w:right w:w="45" w:type="dxa"/>
            </w:tcMar>
            <w:vAlign w:val="center"/>
          </w:tcPr>
          <w:p w14:paraId="79B279AD">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Cs/>
                <w:color w:val="auto"/>
                <w:kern w:val="0"/>
                <w:szCs w:val="21"/>
                <w:highlight w:val="none"/>
              </w:rPr>
              <w:t>（262）所有激光区域内张贴警告标识</w:t>
            </w:r>
          </w:p>
        </w:tc>
        <w:tc>
          <w:tcPr>
            <w:tcW w:w="2543" w:type="dxa"/>
            <w:tcMar>
              <w:left w:w="45" w:type="dxa"/>
              <w:right w:w="45" w:type="dxa"/>
            </w:tcMar>
            <w:vAlign w:val="center"/>
          </w:tcPr>
          <w:p w14:paraId="4EF2CB1F">
            <w:pPr>
              <w:widowControl/>
              <w:spacing w:line="300" w:lineRule="exact"/>
              <w:rPr>
                <w:rFonts w:hint="default" w:ascii="Times New Roman" w:hAnsi="Times New Roman" w:eastAsia="仿宋_GB2312" w:cs="Times New Roman"/>
                <w:b/>
                <w:bCs/>
                <w:color w:val="auto"/>
                <w:kern w:val="0"/>
                <w:szCs w:val="21"/>
                <w:highlight w:val="none"/>
              </w:rPr>
            </w:pPr>
          </w:p>
        </w:tc>
      </w:tr>
      <w:tr w14:paraId="64BC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6EF69">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12.5</w:t>
            </w:r>
          </w:p>
        </w:tc>
        <w:tc>
          <w:tcPr>
            <w:tcW w:w="14023" w:type="dxa"/>
            <w:gridSpan w:val="3"/>
            <w:tcMar>
              <w:left w:w="45" w:type="dxa"/>
              <w:right w:w="45" w:type="dxa"/>
            </w:tcMar>
            <w:vAlign w:val="center"/>
          </w:tcPr>
          <w:p w14:paraId="0B4B59B4">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粉尘安全</w:t>
            </w:r>
          </w:p>
        </w:tc>
      </w:tr>
      <w:tr w14:paraId="1607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73A50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12.5.1</w:t>
            </w:r>
          </w:p>
        </w:tc>
        <w:tc>
          <w:tcPr>
            <w:tcW w:w="3703" w:type="dxa"/>
            <w:tcMar>
              <w:left w:w="45" w:type="dxa"/>
              <w:right w:w="45" w:type="dxa"/>
            </w:tcMar>
            <w:vAlign w:val="center"/>
          </w:tcPr>
          <w:p w14:paraId="2F8F3F29">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highlight w:val="none"/>
              </w:rPr>
              <w:t>粉尘爆炸危险场所，</w:t>
            </w:r>
            <w:r>
              <w:rPr>
                <w:rFonts w:hint="default" w:ascii="Times New Roman" w:hAnsi="Times New Roman" w:eastAsia="仿宋_GB2312" w:cs="Times New Roman"/>
                <w:color w:val="auto"/>
                <w:kern w:val="0"/>
                <w:szCs w:val="21"/>
                <w:highlight w:val="none"/>
              </w:rPr>
              <w:t>应选用防爆型电气设备</w:t>
            </w:r>
          </w:p>
        </w:tc>
        <w:tc>
          <w:tcPr>
            <w:tcW w:w="7777" w:type="dxa"/>
            <w:tcMar>
              <w:left w:w="45" w:type="dxa"/>
              <w:right w:w="45" w:type="dxa"/>
            </w:tcMar>
            <w:vAlign w:val="center"/>
          </w:tcPr>
          <w:p w14:paraId="2576C92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（263）防爆灯、防爆电气开关的导线敷设应选用镀锌管，必须达到整体防爆要求。</w:t>
            </w:r>
          </w:p>
          <w:p w14:paraId="590FE563">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51DFE958">
            <w:pPr>
              <w:pStyle w:val="55"/>
              <w:spacing w:line="360" w:lineRule="auto"/>
              <w:ind w:firstLine="0" w:firstLineChars="0"/>
              <w:rPr>
                <w:rFonts w:hint="default" w:ascii="Times New Roman" w:hAnsi="Times New Roman" w:eastAsia="仿宋_GB2312" w:cs="Times New Roman"/>
                <w:b/>
                <w:bCs/>
                <w:color w:val="auto"/>
                <w:kern w:val="0"/>
                <w:highlight w:val="none"/>
              </w:rPr>
            </w:pPr>
          </w:p>
        </w:tc>
      </w:tr>
      <w:tr w14:paraId="539A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A14C2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12.5.2</w:t>
            </w:r>
          </w:p>
        </w:tc>
        <w:tc>
          <w:tcPr>
            <w:tcW w:w="3703" w:type="dxa"/>
            <w:tcMar>
              <w:left w:w="45" w:type="dxa"/>
              <w:right w:w="45" w:type="dxa"/>
            </w:tcMar>
            <w:vAlign w:val="center"/>
          </w:tcPr>
          <w:p w14:paraId="40F346B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进入产生粉尘的实验场所，须穿戴合适的个体防护用具</w:t>
            </w:r>
          </w:p>
        </w:tc>
        <w:tc>
          <w:tcPr>
            <w:tcW w:w="7777" w:type="dxa"/>
            <w:tcMar>
              <w:left w:w="45" w:type="dxa"/>
              <w:right w:w="45" w:type="dxa"/>
            </w:tcMar>
            <w:vAlign w:val="center"/>
          </w:tcPr>
          <w:p w14:paraId="4FEDA0F1">
            <w:pPr>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highlight w:val="none"/>
              </w:rPr>
              <w:t>（265）</w:t>
            </w:r>
            <w:r>
              <w:rPr>
                <w:rFonts w:hint="default" w:ascii="Times New Roman" w:hAnsi="Times New Roman" w:eastAsia="仿宋_GB2312" w:cs="Times New Roman"/>
                <w:b/>
                <w:bCs/>
                <w:color w:val="auto"/>
                <w:kern w:val="0"/>
                <w:highlight w:val="none"/>
              </w:rPr>
              <w:t>进入粉尘爆炸危险场所</w:t>
            </w:r>
            <w:r>
              <w:rPr>
                <w:rFonts w:hint="default" w:ascii="Times New Roman" w:hAnsi="Times New Roman" w:eastAsia="仿宋_GB2312" w:cs="Times New Roman"/>
                <w:b/>
                <w:bCs/>
                <w:color w:val="auto"/>
                <w:kern w:val="0"/>
                <w:szCs w:val="21"/>
                <w:highlight w:val="none"/>
              </w:rPr>
              <w:t>应穿防静电服装，禁止穿化纤材料制作的衣服，工作时必须佩戴防尘口罩和护耳器</w:t>
            </w:r>
          </w:p>
        </w:tc>
        <w:tc>
          <w:tcPr>
            <w:tcW w:w="2543" w:type="dxa"/>
            <w:tcMar>
              <w:left w:w="45" w:type="dxa"/>
              <w:right w:w="45" w:type="dxa"/>
            </w:tcMar>
            <w:vAlign w:val="center"/>
          </w:tcPr>
          <w:p w14:paraId="6A44270C">
            <w:pPr>
              <w:widowControl/>
              <w:spacing w:line="300" w:lineRule="exact"/>
              <w:rPr>
                <w:rFonts w:hint="default" w:ascii="Times New Roman" w:hAnsi="Times New Roman" w:eastAsia="仿宋_GB2312" w:cs="Times New Roman"/>
                <w:b/>
                <w:bCs/>
                <w:color w:val="auto"/>
                <w:kern w:val="0"/>
                <w:szCs w:val="21"/>
                <w:highlight w:val="none"/>
              </w:rPr>
            </w:pPr>
          </w:p>
        </w:tc>
      </w:tr>
      <w:tr w14:paraId="20A5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A8318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12.5.3</w:t>
            </w:r>
          </w:p>
        </w:tc>
        <w:tc>
          <w:tcPr>
            <w:tcW w:w="3703" w:type="dxa"/>
            <w:tcMar>
              <w:left w:w="45" w:type="dxa"/>
              <w:right w:w="45" w:type="dxa"/>
            </w:tcMar>
            <w:vAlign w:val="center"/>
          </w:tcPr>
          <w:p w14:paraId="44814AE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确保实验室粉尘浓度在爆炸限以下，并配备灭火装置</w:t>
            </w:r>
          </w:p>
        </w:tc>
        <w:tc>
          <w:tcPr>
            <w:tcW w:w="7777" w:type="dxa"/>
            <w:tcMar>
              <w:left w:w="45" w:type="dxa"/>
              <w:right w:w="45" w:type="dxa"/>
            </w:tcMar>
            <w:vAlign w:val="center"/>
          </w:tcPr>
          <w:p w14:paraId="2F247789">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color w:val="auto"/>
                <w:kern w:val="0"/>
                <w:szCs w:val="21"/>
                <w:highlight w:val="none"/>
              </w:rPr>
              <w:t>（266）粉尘浓度较高的场所，应配备必要的加湿装置、静电消除装置以及合适的灭火装置等</w:t>
            </w:r>
          </w:p>
        </w:tc>
        <w:tc>
          <w:tcPr>
            <w:tcW w:w="2543" w:type="dxa"/>
            <w:tcMar>
              <w:left w:w="45" w:type="dxa"/>
              <w:right w:w="45" w:type="dxa"/>
            </w:tcMar>
            <w:vAlign w:val="center"/>
          </w:tcPr>
          <w:p w14:paraId="250A8BE7">
            <w:pPr>
              <w:rPr>
                <w:rFonts w:hint="default" w:ascii="Times New Roman" w:hAnsi="Times New Roman" w:eastAsia="仿宋_GB2312" w:cs="Times New Roman"/>
                <w:bCs/>
                <w:color w:val="auto"/>
                <w:kern w:val="0"/>
                <w:szCs w:val="21"/>
                <w:highlight w:val="none"/>
              </w:rPr>
            </w:pPr>
          </w:p>
        </w:tc>
      </w:tr>
      <w:tr w14:paraId="5E65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D671BE">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13</w:t>
            </w:r>
          </w:p>
        </w:tc>
        <w:tc>
          <w:tcPr>
            <w:tcW w:w="14023" w:type="dxa"/>
            <w:gridSpan w:val="3"/>
            <w:tcMar>
              <w:left w:w="45" w:type="dxa"/>
              <w:right w:w="45" w:type="dxa"/>
            </w:tcMar>
            <w:vAlign w:val="center"/>
          </w:tcPr>
          <w:p w14:paraId="5ED64D6E">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特种设备与常规冷热设备</w:t>
            </w:r>
          </w:p>
        </w:tc>
      </w:tr>
      <w:tr w14:paraId="117B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25394A">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13.1</w:t>
            </w:r>
          </w:p>
        </w:tc>
        <w:tc>
          <w:tcPr>
            <w:tcW w:w="14023" w:type="dxa"/>
            <w:gridSpan w:val="3"/>
            <w:tcMar>
              <w:left w:w="45" w:type="dxa"/>
              <w:right w:w="45" w:type="dxa"/>
            </w:tcMar>
            <w:vAlign w:val="center"/>
          </w:tcPr>
          <w:p w14:paraId="5F13B109">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起重类设备</w:t>
            </w:r>
          </w:p>
        </w:tc>
      </w:tr>
      <w:tr w14:paraId="1A8B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755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13.1.1</w:t>
            </w:r>
          </w:p>
        </w:tc>
        <w:tc>
          <w:tcPr>
            <w:tcW w:w="3703" w:type="dxa"/>
            <w:tcMar>
              <w:left w:w="45" w:type="dxa"/>
              <w:right w:w="45" w:type="dxa"/>
            </w:tcMar>
            <w:vAlign w:val="center"/>
          </w:tcPr>
          <w:p w14:paraId="1D13229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达到《特种设备目录》中起重机械指标的起重设备须取得特种设备使用登记证</w:t>
            </w:r>
          </w:p>
        </w:tc>
        <w:tc>
          <w:tcPr>
            <w:tcW w:w="7777" w:type="dxa"/>
            <w:tcMar>
              <w:left w:w="45" w:type="dxa"/>
              <w:right w:w="45" w:type="dxa"/>
            </w:tcMar>
            <w:vAlign w:val="center"/>
          </w:tcPr>
          <w:p w14:paraId="0223B2D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2E9162E3">
            <w:pPr>
              <w:widowControl/>
              <w:spacing w:line="300" w:lineRule="exact"/>
              <w:rPr>
                <w:rFonts w:hint="default" w:ascii="Times New Roman" w:hAnsi="Times New Roman" w:eastAsia="仿宋_GB2312" w:cs="Times New Roman"/>
                <w:b/>
                <w:bCs/>
                <w:color w:val="auto"/>
                <w:kern w:val="0"/>
                <w:szCs w:val="21"/>
                <w:highlight w:val="none"/>
              </w:rPr>
            </w:pPr>
          </w:p>
        </w:tc>
      </w:tr>
      <w:tr w14:paraId="2B30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99734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13.1.2</w:t>
            </w:r>
          </w:p>
        </w:tc>
        <w:tc>
          <w:tcPr>
            <w:tcW w:w="3703" w:type="dxa"/>
            <w:tcMar>
              <w:left w:w="45" w:type="dxa"/>
              <w:right w:w="45" w:type="dxa"/>
            </w:tcMar>
            <w:vAlign w:val="center"/>
          </w:tcPr>
          <w:p w14:paraId="49E8736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起重机械作业人员、检验单位须有相关资质</w:t>
            </w:r>
          </w:p>
        </w:tc>
        <w:tc>
          <w:tcPr>
            <w:tcW w:w="7777" w:type="dxa"/>
            <w:tcMar>
              <w:left w:w="45" w:type="dxa"/>
              <w:right w:w="45" w:type="dxa"/>
            </w:tcMar>
            <w:vAlign w:val="center"/>
          </w:tcPr>
          <w:p w14:paraId="759F7BE5">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（268）起重机指挥、起重机司机须取得相应的特种设备安全管理和作业人员证，持证上岗，并每4年复审一次。</w:t>
            </w:r>
          </w:p>
          <w:p w14:paraId="026105B8">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（269）委托有资质的单位进行定期检验，并将《特种设备使用标志》置于特种设备的显著位置</w:t>
            </w:r>
          </w:p>
        </w:tc>
        <w:tc>
          <w:tcPr>
            <w:tcW w:w="2543" w:type="dxa"/>
            <w:tcMar>
              <w:left w:w="45" w:type="dxa"/>
              <w:right w:w="45" w:type="dxa"/>
            </w:tcMar>
            <w:vAlign w:val="center"/>
          </w:tcPr>
          <w:p w14:paraId="5F250B54">
            <w:pPr>
              <w:widowControl/>
              <w:spacing w:line="300" w:lineRule="exact"/>
              <w:rPr>
                <w:rFonts w:hint="default" w:ascii="Times New Roman" w:hAnsi="Times New Roman" w:eastAsia="仿宋_GB2312" w:cs="Times New Roman"/>
                <w:color w:val="auto"/>
                <w:kern w:val="0"/>
                <w:szCs w:val="21"/>
                <w:highlight w:val="none"/>
              </w:rPr>
            </w:pPr>
          </w:p>
        </w:tc>
      </w:tr>
      <w:tr w14:paraId="7C27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574EC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13.1.3</w:t>
            </w:r>
          </w:p>
        </w:tc>
        <w:tc>
          <w:tcPr>
            <w:tcW w:w="3703" w:type="dxa"/>
            <w:tcMar>
              <w:left w:w="45" w:type="dxa"/>
              <w:right w:w="45" w:type="dxa"/>
            </w:tcMar>
            <w:vAlign w:val="center"/>
          </w:tcPr>
          <w:p w14:paraId="3075180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起重机械须定期保养，设置警示标识，安装防护设施</w:t>
            </w:r>
          </w:p>
        </w:tc>
        <w:tc>
          <w:tcPr>
            <w:tcW w:w="7777" w:type="dxa"/>
            <w:tcMar>
              <w:left w:w="45" w:type="dxa"/>
              <w:right w:w="45" w:type="dxa"/>
            </w:tcMar>
            <w:vAlign w:val="center"/>
          </w:tcPr>
          <w:p w14:paraId="1728B80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（270）在用起重机械至少每月进行1次日常维护保养和自行检查，并做记录。</w:t>
            </w:r>
          </w:p>
          <w:p w14:paraId="10292F8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（271）制定安全操作规程，并在周边醒目位置张贴警示标识，有必要的安全距离和防护措施。</w:t>
            </w:r>
          </w:p>
          <w:p w14:paraId="171103F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（272）起重设备声光报警正常，室内起重设备应标有运行通道。</w:t>
            </w:r>
          </w:p>
          <w:p w14:paraId="02D2F8B9">
            <w:pPr>
              <w:widowControl/>
              <w:spacing w:line="300" w:lineRule="exact"/>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color w:val="auto"/>
                <w:kern w:val="0"/>
                <w:szCs w:val="21"/>
                <w:highlight w:val="none"/>
              </w:rPr>
              <w:t>（273）废弃不用的起重机械应及时拆除</w:t>
            </w:r>
          </w:p>
        </w:tc>
        <w:tc>
          <w:tcPr>
            <w:tcW w:w="2543" w:type="dxa"/>
            <w:tcMar>
              <w:left w:w="45" w:type="dxa"/>
              <w:right w:w="45" w:type="dxa"/>
            </w:tcMar>
            <w:vAlign w:val="center"/>
          </w:tcPr>
          <w:p w14:paraId="729C95B0">
            <w:pPr>
              <w:widowControl/>
              <w:spacing w:line="300" w:lineRule="exact"/>
              <w:rPr>
                <w:rFonts w:hint="default" w:ascii="Times New Roman" w:hAnsi="Times New Roman" w:eastAsia="仿宋_GB2312" w:cs="Times New Roman"/>
                <w:bCs/>
                <w:color w:val="auto"/>
                <w:kern w:val="0"/>
                <w:szCs w:val="21"/>
                <w:highlight w:val="none"/>
              </w:rPr>
            </w:pPr>
          </w:p>
        </w:tc>
      </w:tr>
      <w:tr w14:paraId="1FF1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AEE976">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13.2</w:t>
            </w:r>
          </w:p>
        </w:tc>
        <w:tc>
          <w:tcPr>
            <w:tcW w:w="14023" w:type="dxa"/>
            <w:gridSpan w:val="3"/>
            <w:tcMar>
              <w:left w:w="45" w:type="dxa"/>
              <w:right w:w="45" w:type="dxa"/>
            </w:tcMar>
            <w:vAlign w:val="center"/>
          </w:tcPr>
          <w:p w14:paraId="5B3F216B">
            <w:pPr>
              <w:widowControl/>
              <w:spacing w:line="300" w:lineRule="exact"/>
              <w:rPr>
                <w:rFonts w:hint="default" w:ascii="Times New Roman" w:hAnsi="Times New Roman" w:eastAsia="仿宋_GB2312" w:cs="Times New Roman"/>
                <w:bCs/>
                <w:color w:val="auto"/>
                <w:kern w:val="0"/>
                <w:szCs w:val="21"/>
                <w:highlight w:val="none"/>
              </w:rPr>
            </w:pPr>
            <w:r>
              <w:rPr>
                <w:rFonts w:hint="default" w:ascii="Times New Roman" w:hAnsi="Times New Roman" w:eastAsia="仿宋_GB2312" w:cs="Times New Roman"/>
                <w:b/>
                <w:color w:val="auto"/>
                <w:kern w:val="0"/>
                <w:szCs w:val="21"/>
                <w:highlight w:val="none"/>
              </w:rPr>
              <w:t>压力容器</w:t>
            </w:r>
          </w:p>
        </w:tc>
      </w:tr>
      <w:tr w14:paraId="16AF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1D3AE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13.2.1</w:t>
            </w:r>
          </w:p>
        </w:tc>
        <w:tc>
          <w:tcPr>
            <w:tcW w:w="3703" w:type="dxa"/>
            <w:tcMar>
              <w:left w:w="45" w:type="dxa"/>
              <w:right w:w="45" w:type="dxa"/>
            </w:tcMar>
            <w:vAlign w:val="center"/>
          </w:tcPr>
          <w:p w14:paraId="056A26E3">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压力容器使用登记、相关人员资格</w:t>
            </w:r>
          </w:p>
        </w:tc>
        <w:tc>
          <w:tcPr>
            <w:tcW w:w="7777" w:type="dxa"/>
            <w:tcMar>
              <w:left w:w="45" w:type="dxa"/>
              <w:right w:w="45" w:type="dxa"/>
            </w:tcMar>
            <w:vAlign w:val="center"/>
          </w:tcPr>
          <w:p w14:paraId="546279F3">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highlight w:val="none"/>
              </w:rPr>
              <w:t>须</w:t>
            </w:r>
            <w:r>
              <w:rPr>
                <w:rFonts w:hint="default" w:ascii="Times New Roman" w:hAnsi="Times New Roman" w:eastAsia="仿宋_GB2312" w:cs="Times New Roman"/>
                <w:color w:val="auto"/>
                <w:kern w:val="0"/>
                <w:szCs w:val="21"/>
                <w:highlight w:val="none"/>
              </w:rPr>
              <w:t>取得特种设备使用登记证。设备铭牌上标明为简单压力容器的无须办理。（气瓶的安全检查要点见9.6“实验室气体管理”）。</w:t>
            </w:r>
          </w:p>
          <w:p w14:paraId="60ED54EA">
            <w:pPr>
              <w:widowControl/>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highlight w:val="none"/>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highlight w:val="none"/>
              </w:rPr>
              <w:t>取得相应的特种设备安全管理和作业人员证，持证上岗，并每4年复审1次</w:t>
            </w:r>
          </w:p>
        </w:tc>
        <w:tc>
          <w:tcPr>
            <w:tcW w:w="2543" w:type="dxa"/>
            <w:tcMar>
              <w:left w:w="45" w:type="dxa"/>
              <w:right w:w="45" w:type="dxa"/>
            </w:tcMar>
            <w:vAlign w:val="center"/>
          </w:tcPr>
          <w:p w14:paraId="0BDF7598">
            <w:pPr>
              <w:rPr>
                <w:rFonts w:hint="default" w:ascii="Times New Roman" w:hAnsi="Times New Roman" w:eastAsia="仿宋_GB2312" w:cs="Times New Roman"/>
                <w:bCs/>
                <w:color w:val="auto"/>
                <w:kern w:val="0"/>
                <w:szCs w:val="21"/>
                <w:highlight w:val="none"/>
              </w:rPr>
            </w:pPr>
          </w:p>
        </w:tc>
      </w:tr>
      <w:tr w14:paraId="577C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C1046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13.2.2</w:t>
            </w:r>
          </w:p>
        </w:tc>
        <w:tc>
          <w:tcPr>
            <w:tcW w:w="3703" w:type="dxa"/>
            <w:tcMar>
              <w:left w:w="45" w:type="dxa"/>
              <w:right w:w="45" w:type="dxa"/>
            </w:tcMar>
            <w:vAlign w:val="center"/>
          </w:tcPr>
          <w:p w14:paraId="51D32016">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压力容器定期检验</w:t>
            </w:r>
          </w:p>
        </w:tc>
        <w:tc>
          <w:tcPr>
            <w:tcW w:w="7777" w:type="dxa"/>
            <w:tcMar>
              <w:left w:w="45" w:type="dxa"/>
              <w:right w:w="45" w:type="dxa"/>
            </w:tcMar>
            <w:vAlign w:val="center"/>
          </w:tcPr>
          <w:p w14:paraId="2B82D412">
            <w:pPr>
              <w:widowControl/>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color w:val="auto"/>
                <w:kern w:val="0"/>
                <w:szCs w:val="21"/>
                <w:highlight w:val="none"/>
              </w:rPr>
              <w:t>（276）</w:t>
            </w:r>
            <w:r>
              <w:rPr>
                <w:rFonts w:hint="default" w:ascii="Times New Roman" w:hAnsi="Times New Roman" w:eastAsia="仿宋_GB2312" w:cs="Times New Roman"/>
                <w:b/>
                <w:bCs/>
                <w:color w:val="auto"/>
                <w:kern w:val="0"/>
                <w:szCs w:val="21"/>
                <w:highlight w:val="none"/>
              </w:rPr>
              <w:t>委托有资质的单位进行定期检验，并将定期检验合格证置于特种设备的显著位置</w:t>
            </w:r>
          </w:p>
          <w:p w14:paraId="550E757A">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（277）</w:t>
            </w:r>
            <w:r>
              <w:rPr>
                <w:rFonts w:hint="default" w:ascii="Times New Roman" w:hAnsi="Times New Roman" w:eastAsia="仿宋_GB2312" w:cs="Times New Roman"/>
                <w:b/>
                <w:bCs/>
                <w:color w:val="auto"/>
                <w:kern w:val="0"/>
                <w:szCs w:val="21"/>
                <w:highlight w:val="none"/>
              </w:rPr>
              <w:t>安全阀或压力表等附件须委托有资质的单位定期校验或检定</w:t>
            </w:r>
          </w:p>
        </w:tc>
        <w:tc>
          <w:tcPr>
            <w:tcW w:w="2543" w:type="dxa"/>
            <w:tcMar>
              <w:left w:w="45" w:type="dxa"/>
              <w:right w:w="45" w:type="dxa"/>
            </w:tcMar>
            <w:vAlign w:val="center"/>
          </w:tcPr>
          <w:p w14:paraId="26BDB957">
            <w:pPr>
              <w:rPr>
                <w:rFonts w:hint="default" w:ascii="Times New Roman" w:hAnsi="Times New Roman" w:eastAsia="仿宋_GB2312" w:cs="Times New Roman"/>
                <w:bCs/>
                <w:color w:val="auto"/>
                <w:kern w:val="0"/>
                <w:szCs w:val="21"/>
                <w:highlight w:val="none"/>
              </w:rPr>
            </w:pPr>
          </w:p>
        </w:tc>
      </w:tr>
      <w:tr w14:paraId="0D68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305CB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13.2.3</w:t>
            </w:r>
          </w:p>
        </w:tc>
        <w:tc>
          <w:tcPr>
            <w:tcW w:w="3703" w:type="dxa"/>
            <w:tcMar>
              <w:left w:w="45" w:type="dxa"/>
              <w:right w:w="45" w:type="dxa"/>
            </w:tcMar>
            <w:vAlign w:val="center"/>
          </w:tcPr>
          <w:p w14:paraId="76612F6B">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压力容器使用管理</w:t>
            </w:r>
          </w:p>
        </w:tc>
        <w:tc>
          <w:tcPr>
            <w:tcW w:w="7777" w:type="dxa"/>
            <w:tcMar>
              <w:left w:w="45" w:type="dxa"/>
              <w:right w:w="45" w:type="dxa"/>
            </w:tcMar>
            <w:vAlign w:val="center"/>
          </w:tcPr>
          <w:p w14:paraId="09650766">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（278）设置安全管理机构，配备安全管理负责人、安全管理人员和作业人员，建立各项安全管理制度，制定操作规程。</w:t>
            </w:r>
          </w:p>
          <w:p w14:paraId="03D97A59">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（279）实验室应经常巡回检查，发现异常及时处理，并做记录。</w:t>
            </w:r>
          </w:p>
          <w:p w14:paraId="493754D7">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6ABE91E5">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（281）简单压力容器也应建立设备安全管理档案。</w:t>
            </w:r>
          </w:p>
          <w:p w14:paraId="2BEFFD92">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30DF9BC9">
            <w:pPr>
              <w:rPr>
                <w:rFonts w:hint="default" w:ascii="Times New Roman" w:hAnsi="Times New Roman" w:eastAsia="仿宋_GB2312" w:cs="Times New Roman"/>
                <w:bCs/>
                <w:color w:val="auto"/>
                <w:kern w:val="0"/>
                <w:szCs w:val="21"/>
                <w:highlight w:val="none"/>
              </w:rPr>
            </w:pPr>
          </w:p>
        </w:tc>
      </w:tr>
      <w:tr w14:paraId="29F4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93A95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13.2.4</w:t>
            </w:r>
          </w:p>
        </w:tc>
        <w:tc>
          <w:tcPr>
            <w:tcW w:w="3703" w:type="dxa"/>
            <w:tcMar>
              <w:left w:w="45" w:type="dxa"/>
              <w:right w:w="45" w:type="dxa"/>
            </w:tcMar>
            <w:vAlign w:val="center"/>
          </w:tcPr>
          <w:p w14:paraId="3CD46119">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压力容器的使用年限及报废</w:t>
            </w:r>
          </w:p>
        </w:tc>
        <w:tc>
          <w:tcPr>
            <w:tcW w:w="7777" w:type="dxa"/>
            <w:tcMar>
              <w:left w:w="45" w:type="dxa"/>
              <w:right w:w="45" w:type="dxa"/>
            </w:tcMar>
            <w:vAlign w:val="center"/>
          </w:tcPr>
          <w:p w14:paraId="3A9DC48A">
            <w:pP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5189AE69">
            <w:pPr>
              <w:rPr>
                <w:rFonts w:hint="default" w:ascii="Times New Roman" w:hAnsi="Times New Roman" w:eastAsia="仿宋_GB2312" w:cs="Times New Roman"/>
                <w:bCs/>
                <w:color w:val="auto"/>
                <w:kern w:val="0"/>
                <w:szCs w:val="21"/>
                <w:highlight w:val="none"/>
              </w:rPr>
            </w:pPr>
          </w:p>
        </w:tc>
      </w:tr>
      <w:tr w14:paraId="404F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BE1A2B">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13.3</w:t>
            </w:r>
          </w:p>
        </w:tc>
        <w:tc>
          <w:tcPr>
            <w:tcW w:w="14023" w:type="dxa"/>
            <w:gridSpan w:val="3"/>
            <w:tcMar>
              <w:left w:w="45" w:type="dxa"/>
              <w:right w:w="45" w:type="dxa"/>
            </w:tcMar>
            <w:vAlign w:val="center"/>
          </w:tcPr>
          <w:p w14:paraId="4DFEBAC3">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场（厂）内专用机动车辆</w:t>
            </w:r>
          </w:p>
        </w:tc>
      </w:tr>
      <w:tr w14:paraId="6B06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DA887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13.3.1</w:t>
            </w:r>
          </w:p>
        </w:tc>
        <w:tc>
          <w:tcPr>
            <w:tcW w:w="3703" w:type="dxa"/>
            <w:tcMar>
              <w:left w:w="45" w:type="dxa"/>
              <w:right w:w="45" w:type="dxa"/>
            </w:tcMar>
            <w:vAlign w:val="center"/>
          </w:tcPr>
          <w:p w14:paraId="19B1D79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场（厂）内专用机动车辆须取得特种设备使用登记证</w:t>
            </w:r>
          </w:p>
        </w:tc>
        <w:tc>
          <w:tcPr>
            <w:tcW w:w="7777" w:type="dxa"/>
            <w:tcMar>
              <w:left w:w="45" w:type="dxa"/>
              <w:right w:w="45" w:type="dxa"/>
            </w:tcMar>
            <w:vAlign w:val="center"/>
          </w:tcPr>
          <w:p w14:paraId="56A92CC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（284）校园内使用的专用机动车辆须取得特种设备使用登记证</w:t>
            </w:r>
          </w:p>
        </w:tc>
        <w:tc>
          <w:tcPr>
            <w:tcW w:w="2543" w:type="dxa"/>
            <w:tcMar>
              <w:left w:w="45" w:type="dxa"/>
              <w:right w:w="45" w:type="dxa"/>
            </w:tcMar>
            <w:vAlign w:val="center"/>
          </w:tcPr>
          <w:p w14:paraId="33269A9E">
            <w:pPr>
              <w:widowControl/>
              <w:spacing w:line="300" w:lineRule="exact"/>
              <w:rPr>
                <w:rFonts w:hint="default" w:ascii="Times New Roman" w:hAnsi="Times New Roman" w:eastAsia="仿宋_GB2312" w:cs="Times New Roman"/>
                <w:bCs/>
                <w:color w:val="auto"/>
                <w:kern w:val="0"/>
                <w:szCs w:val="21"/>
                <w:highlight w:val="none"/>
              </w:rPr>
            </w:pPr>
          </w:p>
        </w:tc>
      </w:tr>
      <w:tr w14:paraId="60AE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18D0D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13.3.2</w:t>
            </w:r>
          </w:p>
        </w:tc>
        <w:tc>
          <w:tcPr>
            <w:tcW w:w="3703" w:type="dxa"/>
            <w:tcMar>
              <w:left w:w="45" w:type="dxa"/>
              <w:right w:w="45" w:type="dxa"/>
            </w:tcMar>
            <w:vAlign w:val="center"/>
          </w:tcPr>
          <w:p w14:paraId="26112AE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作业人员取得相应的特种设备安全管理和作业人员证，持证上岗</w:t>
            </w:r>
          </w:p>
        </w:tc>
        <w:tc>
          <w:tcPr>
            <w:tcW w:w="7777" w:type="dxa"/>
            <w:tcMar>
              <w:left w:w="45" w:type="dxa"/>
              <w:right w:w="45" w:type="dxa"/>
            </w:tcMar>
            <w:vAlign w:val="center"/>
          </w:tcPr>
          <w:p w14:paraId="7BA82640">
            <w:pPr>
              <w:rPr>
                <w:rFonts w:hint="default" w:ascii="Times New Roman" w:hAnsi="Times New Roman" w:eastAsia="仿宋_GB2312" w:cs="Times New Roman"/>
                <w:b/>
                <w:bCs/>
                <w:color w:val="auto"/>
                <w:kern w:val="0"/>
                <w:szCs w:val="21"/>
                <w:highlight w:val="none"/>
              </w:rPr>
            </w:pPr>
            <w:r>
              <w:rPr>
                <w:rFonts w:hint="default" w:ascii="Times New Roman" w:hAnsi="Times New Roman" w:eastAsia="仿宋_GB2312" w:cs="Times New Roman"/>
                <w:color w:val="auto"/>
                <w:kern w:val="0"/>
                <w:szCs w:val="21"/>
                <w:highlight w:val="none"/>
              </w:rPr>
              <w:t>（285）作业人员取得相应的特种设备安全管理和作业人员证，证书在有效期内</w:t>
            </w:r>
          </w:p>
        </w:tc>
        <w:tc>
          <w:tcPr>
            <w:tcW w:w="2543" w:type="dxa"/>
            <w:tcMar>
              <w:left w:w="45" w:type="dxa"/>
              <w:right w:w="45" w:type="dxa"/>
            </w:tcMar>
            <w:vAlign w:val="center"/>
          </w:tcPr>
          <w:p w14:paraId="7CD05DE2">
            <w:pPr>
              <w:widowControl/>
              <w:spacing w:line="300" w:lineRule="exact"/>
              <w:rPr>
                <w:rFonts w:hint="default" w:ascii="Times New Roman" w:hAnsi="Times New Roman" w:eastAsia="仿宋_GB2312" w:cs="Times New Roman"/>
                <w:bCs/>
                <w:color w:val="auto"/>
                <w:kern w:val="0"/>
                <w:szCs w:val="21"/>
                <w:highlight w:val="none"/>
              </w:rPr>
            </w:pPr>
          </w:p>
        </w:tc>
      </w:tr>
      <w:tr w14:paraId="5C1C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24D1D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13.3.3</w:t>
            </w:r>
          </w:p>
        </w:tc>
        <w:tc>
          <w:tcPr>
            <w:tcW w:w="3703" w:type="dxa"/>
            <w:tcMar>
              <w:left w:w="45" w:type="dxa"/>
              <w:right w:w="45" w:type="dxa"/>
            </w:tcMar>
            <w:vAlign w:val="center"/>
          </w:tcPr>
          <w:p w14:paraId="3391E60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委托有资质的单位进行定期检验</w:t>
            </w:r>
          </w:p>
        </w:tc>
        <w:tc>
          <w:tcPr>
            <w:tcW w:w="7777" w:type="dxa"/>
            <w:tcMar>
              <w:left w:w="45" w:type="dxa"/>
              <w:right w:w="45" w:type="dxa"/>
            </w:tcMar>
            <w:vAlign w:val="center"/>
          </w:tcPr>
          <w:p w14:paraId="7F32E06D">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（286）合格证在有效期内</w:t>
            </w:r>
          </w:p>
        </w:tc>
        <w:tc>
          <w:tcPr>
            <w:tcW w:w="2543" w:type="dxa"/>
            <w:tcMar>
              <w:left w:w="45" w:type="dxa"/>
              <w:right w:w="45" w:type="dxa"/>
            </w:tcMar>
            <w:vAlign w:val="center"/>
          </w:tcPr>
          <w:p w14:paraId="5DD8AAC9">
            <w:pPr>
              <w:widowControl/>
              <w:spacing w:line="300" w:lineRule="exact"/>
              <w:rPr>
                <w:rFonts w:hint="default" w:ascii="Times New Roman" w:hAnsi="Times New Roman" w:eastAsia="仿宋_GB2312" w:cs="Times New Roman"/>
                <w:bCs/>
                <w:color w:val="auto"/>
                <w:kern w:val="0"/>
                <w:szCs w:val="21"/>
                <w:highlight w:val="none"/>
              </w:rPr>
            </w:pPr>
          </w:p>
        </w:tc>
      </w:tr>
      <w:tr w14:paraId="792A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B7D5E7">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13.4</w:t>
            </w:r>
          </w:p>
        </w:tc>
        <w:tc>
          <w:tcPr>
            <w:tcW w:w="14023" w:type="dxa"/>
            <w:gridSpan w:val="3"/>
            <w:tcMar>
              <w:left w:w="45" w:type="dxa"/>
              <w:right w:w="45" w:type="dxa"/>
            </w:tcMar>
            <w:vAlign w:val="center"/>
          </w:tcPr>
          <w:p w14:paraId="0895E2CD">
            <w:pPr>
              <w:widowControl/>
              <w:spacing w:line="300" w:lineRule="exact"/>
              <w:rPr>
                <w:rFonts w:hint="default" w:ascii="Times New Roman" w:hAnsi="Times New Roman" w:eastAsia="仿宋_GB2312" w:cs="Times New Roman"/>
                <w:b/>
                <w:color w:val="auto"/>
                <w:kern w:val="0"/>
                <w:szCs w:val="21"/>
                <w:highlight w:val="none"/>
              </w:rPr>
            </w:pPr>
            <w:r>
              <w:rPr>
                <w:rFonts w:hint="default" w:ascii="Times New Roman" w:hAnsi="Times New Roman" w:eastAsia="仿宋_GB2312" w:cs="Times New Roman"/>
                <w:b/>
                <w:color w:val="auto"/>
                <w:kern w:val="0"/>
                <w:szCs w:val="21"/>
                <w:highlight w:val="none"/>
              </w:rPr>
              <w:t>加热及制冷装置管理</w:t>
            </w:r>
          </w:p>
        </w:tc>
      </w:tr>
      <w:tr w14:paraId="55CC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1C648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13.4.1</w:t>
            </w:r>
          </w:p>
        </w:tc>
        <w:tc>
          <w:tcPr>
            <w:tcW w:w="3703" w:type="dxa"/>
            <w:tcMar>
              <w:left w:w="45" w:type="dxa"/>
              <w:right w:w="45" w:type="dxa"/>
            </w:tcMar>
            <w:vAlign w:val="center"/>
          </w:tcPr>
          <w:p w14:paraId="0C4A02A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贮存危险化学品的冰箱满足防爆要求</w:t>
            </w:r>
          </w:p>
        </w:tc>
        <w:tc>
          <w:tcPr>
            <w:tcW w:w="7777" w:type="dxa"/>
            <w:tcMar>
              <w:left w:w="45" w:type="dxa"/>
              <w:right w:w="45" w:type="dxa"/>
            </w:tcMar>
            <w:vAlign w:val="center"/>
          </w:tcPr>
          <w:p w14:paraId="0E53EE7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（287）贮存危险化学品的冰箱应为防爆冰箱或经过防爆改造的冰箱，并在冰箱门上注明是否防爆</w:t>
            </w:r>
          </w:p>
        </w:tc>
        <w:tc>
          <w:tcPr>
            <w:tcW w:w="2543" w:type="dxa"/>
            <w:tcMar>
              <w:left w:w="45" w:type="dxa"/>
              <w:right w:w="45" w:type="dxa"/>
            </w:tcMar>
            <w:vAlign w:val="center"/>
          </w:tcPr>
          <w:p w14:paraId="44F067D5">
            <w:pPr>
              <w:widowControl/>
              <w:spacing w:line="300" w:lineRule="exact"/>
              <w:rPr>
                <w:rFonts w:hint="default" w:ascii="Times New Roman" w:hAnsi="Times New Roman" w:eastAsia="仿宋_GB2312" w:cs="Times New Roman"/>
                <w:bCs/>
                <w:color w:val="auto"/>
                <w:kern w:val="0"/>
                <w:szCs w:val="21"/>
                <w:highlight w:val="none"/>
              </w:rPr>
            </w:pPr>
          </w:p>
        </w:tc>
      </w:tr>
      <w:tr w14:paraId="47A5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407E97">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13.4.2</w:t>
            </w:r>
          </w:p>
        </w:tc>
        <w:tc>
          <w:tcPr>
            <w:tcW w:w="3703" w:type="dxa"/>
            <w:tcMar>
              <w:left w:w="45" w:type="dxa"/>
              <w:right w:w="45" w:type="dxa"/>
            </w:tcMar>
            <w:vAlign w:val="center"/>
          </w:tcPr>
          <w:p w14:paraId="2C45299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冰箱内存放的物品须标识明确，试剂必须可靠密封</w:t>
            </w:r>
          </w:p>
        </w:tc>
        <w:tc>
          <w:tcPr>
            <w:tcW w:w="7777" w:type="dxa"/>
            <w:tcMar>
              <w:left w:w="45" w:type="dxa"/>
              <w:right w:w="45" w:type="dxa"/>
            </w:tcMar>
            <w:vAlign w:val="center"/>
          </w:tcPr>
          <w:p w14:paraId="745A662A">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（288）标识至少包括：名称、使用人、日期等，并经常清理。</w:t>
            </w:r>
          </w:p>
          <w:p w14:paraId="4B0E5C4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00F810B4">
            <w:pPr>
              <w:widowControl/>
              <w:spacing w:line="300" w:lineRule="exact"/>
              <w:rPr>
                <w:rFonts w:hint="default" w:ascii="Times New Roman" w:hAnsi="Times New Roman" w:eastAsia="仿宋_GB2312" w:cs="Times New Roman"/>
                <w:bCs/>
                <w:color w:val="auto"/>
                <w:kern w:val="0"/>
                <w:szCs w:val="21"/>
                <w:highlight w:val="none"/>
              </w:rPr>
            </w:pPr>
          </w:p>
        </w:tc>
      </w:tr>
      <w:tr w14:paraId="44AF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57C8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13.4.3</w:t>
            </w:r>
          </w:p>
        </w:tc>
        <w:tc>
          <w:tcPr>
            <w:tcW w:w="3703" w:type="dxa"/>
            <w:tcMar>
              <w:left w:w="45" w:type="dxa"/>
              <w:right w:w="45" w:type="dxa"/>
            </w:tcMar>
            <w:vAlign w:val="center"/>
          </w:tcPr>
          <w:p w14:paraId="25F625B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冰箱、烘箱、电阻炉的使用满足使用期间和空间等要求</w:t>
            </w:r>
          </w:p>
        </w:tc>
        <w:tc>
          <w:tcPr>
            <w:tcW w:w="7777" w:type="dxa"/>
            <w:tcMar>
              <w:left w:w="45" w:type="dxa"/>
              <w:right w:w="45" w:type="dxa"/>
            </w:tcMar>
            <w:vAlign w:val="center"/>
          </w:tcPr>
          <w:p w14:paraId="6F12014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（290）冰箱不超期使用（一般使用期限控制为10年），如超期使用须经审批。</w:t>
            </w:r>
          </w:p>
          <w:p w14:paraId="20C7B6D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（291）冰箱周围留出足够空间，周围不堆放杂物，不影响散热。</w:t>
            </w:r>
          </w:p>
          <w:p w14:paraId="28BD486B">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（292）烘箱、电阻炉不超期使用（一般使用期限控制为12年），如超期使用须经审批。</w:t>
            </w:r>
          </w:p>
          <w:p w14:paraId="008FF835">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2E31B9BC">
            <w:pPr>
              <w:widowControl/>
              <w:spacing w:line="300" w:lineRule="exact"/>
              <w:rPr>
                <w:rFonts w:hint="default" w:ascii="Times New Roman" w:hAnsi="Times New Roman" w:eastAsia="仿宋_GB2312" w:cs="Times New Roman"/>
                <w:bCs/>
                <w:color w:val="auto"/>
                <w:kern w:val="0"/>
                <w:szCs w:val="21"/>
                <w:highlight w:val="none"/>
              </w:rPr>
            </w:pPr>
          </w:p>
        </w:tc>
      </w:tr>
      <w:tr w14:paraId="46D5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BC4A9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13.4.4</w:t>
            </w:r>
          </w:p>
        </w:tc>
        <w:tc>
          <w:tcPr>
            <w:tcW w:w="3703" w:type="dxa"/>
            <w:tcMar>
              <w:left w:w="45" w:type="dxa"/>
              <w:right w:w="45" w:type="dxa"/>
            </w:tcMar>
            <w:vAlign w:val="center"/>
          </w:tcPr>
          <w:p w14:paraId="6885B75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烘箱、电阻炉等加热设备须制定安全操作规程</w:t>
            </w:r>
          </w:p>
        </w:tc>
        <w:tc>
          <w:tcPr>
            <w:tcW w:w="7777" w:type="dxa"/>
            <w:tcMar>
              <w:left w:w="45" w:type="dxa"/>
              <w:right w:w="45" w:type="dxa"/>
            </w:tcMar>
            <w:vAlign w:val="center"/>
          </w:tcPr>
          <w:p w14:paraId="6CD6E7C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（294）加热设备周边醒目位置张贴高温警示标志，并有必要的防护措施，张贴有安全操作规程、警示标志。</w:t>
            </w:r>
          </w:p>
          <w:p w14:paraId="0B85D9F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（295）</w:t>
            </w:r>
            <w:r>
              <w:rPr>
                <w:rFonts w:hint="default" w:ascii="Times New Roman" w:hAnsi="Times New Roman" w:eastAsia="仿宋_GB2312" w:cs="Times New Roman"/>
                <w:b/>
                <w:bCs/>
                <w:color w:val="auto"/>
                <w:kern w:val="0"/>
                <w:szCs w:val="21"/>
                <w:highlight w:val="none"/>
              </w:rPr>
              <w:t>烘箱等加热设备内不准烘烤易燃易爆试剂及易燃物品。</w:t>
            </w:r>
          </w:p>
          <w:p w14:paraId="2906ABB9">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（296）不得使用塑料筐等易燃容器盛放实验物品在烘箱等加热设备内烘烤。</w:t>
            </w:r>
          </w:p>
          <w:p w14:paraId="7FF6A262">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（297）烘箱使用完毕，清理物品、切断电源，确认其冷却至安全温度后方能离开。</w:t>
            </w:r>
          </w:p>
          <w:p w14:paraId="33C08310">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（298）使用电阻炉等明火设备时有人值守。</w:t>
            </w:r>
          </w:p>
          <w:p w14:paraId="7B70C138">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（299）使用加热设备时，温度较高的实验须有人值守或有实时监控措施</w:t>
            </w:r>
          </w:p>
        </w:tc>
        <w:tc>
          <w:tcPr>
            <w:tcW w:w="2543" w:type="dxa"/>
            <w:tcMar>
              <w:left w:w="45" w:type="dxa"/>
              <w:right w:w="45" w:type="dxa"/>
            </w:tcMar>
            <w:vAlign w:val="center"/>
          </w:tcPr>
          <w:p w14:paraId="2FB17B54">
            <w:pPr>
              <w:widowControl/>
              <w:spacing w:line="300" w:lineRule="exact"/>
              <w:rPr>
                <w:rFonts w:hint="default" w:ascii="Times New Roman" w:hAnsi="Times New Roman" w:eastAsia="仿宋_GB2312" w:cs="Times New Roman"/>
                <w:color w:val="auto"/>
                <w:kern w:val="0"/>
                <w:szCs w:val="21"/>
                <w:highlight w:val="none"/>
              </w:rPr>
            </w:pPr>
          </w:p>
        </w:tc>
      </w:tr>
      <w:tr w14:paraId="5925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774ADE">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13.4.5</w:t>
            </w:r>
          </w:p>
        </w:tc>
        <w:tc>
          <w:tcPr>
            <w:tcW w:w="3703" w:type="dxa"/>
            <w:tcMar>
              <w:left w:w="45" w:type="dxa"/>
              <w:right w:w="45" w:type="dxa"/>
            </w:tcMar>
            <w:vAlign w:val="center"/>
          </w:tcPr>
          <w:p w14:paraId="36802281">
            <w:pPr>
              <w:widowControl/>
              <w:spacing w:line="3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使用明火电炉或者电吹风须有安全防范举措</w:t>
            </w:r>
          </w:p>
        </w:tc>
        <w:tc>
          <w:tcPr>
            <w:tcW w:w="7777" w:type="dxa"/>
            <w:tcMar>
              <w:left w:w="45" w:type="dxa"/>
              <w:right w:w="45" w:type="dxa"/>
            </w:tcMar>
            <w:vAlign w:val="center"/>
          </w:tcPr>
          <w:p w14:paraId="6CB89271">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（300）涉及化学品的实验室不使用明火电炉。如必须使用，须有安全防范措施。</w:t>
            </w:r>
          </w:p>
          <w:p w14:paraId="7FD6E23F">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（301）</w:t>
            </w:r>
            <w:r>
              <w:rPr>
                <w:rFonts w:hint="default" w:ascii="Times New Roman" w:hAnsi="Times New Roman" w:eastAsia="仿宋_GB2312" w:cs="Times New Roman"/>
                <w:b/>
                <w:bCs/>
                <w:color w:val="auto"/>
                <w:kern w:val="0"/>
                <w:szCs w:val="21"/>
                <w:highlight w:val="none"/>
              </w:rPr>
              <w:t>不使用明火电炉加热易燃易爆试剂。</w:t>
            </w:r>
          </w:p>
          <w:p w14:paraId="71B28BF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（302）明火电炉、电吹风、电热枪等用毕，须及时拔除电源插头。</w:t>
            </w:r>
          </w:p>
          <w:p w14:paraId="69B1418C">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（303）不可用纸质、木质等材料自制红外灯烘箱</w:t>
            </w:r>
          </w:p>
        </w:tc>
        <w:tc>
          <w:tcPr>
            <w:tcW w:w="2543" w:type="dxa"/>
            <w:tcMar>
              <w:left w:w="45" w:type="dxa"/>
              <w:right w:w="45" w:type="dxa"/>
            </w:tcMar>
            <w:vAlign w:val="center"/>
          </w:tcPr>
          <w:p w14:paraId="502C9391">
            <w:pPr>
              <w:widowControl/>
              <w:spacing w:line="300" w:lineRule="exact"/>
              <w:rPr>
                <w:rFonts w:hint="default" w:ascii="Times New Roman" w:hAnsi="Times New Roman" w:eastAsia="仿宋_GB2312" w:cs="Times New Roman"/>
                <w:color w:val="auto"/>
                <w:kern w:val="0"/>
                <w:szCs w:val="21"/>
                <w:highlight w:val="none"/>
              </w:rPr>
            </w:pPr>
          </w:p>
        </w:tc>
      </w:tr>
    </w:tbl>
    <w:p w14:paraId="208AF000">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注：本表所列为基本安全隐患，对于其他各类未尽的安全隐患，务必高度重视，严格按照有关部门安全管理要求，并结合高校自身实际情况，全面加强实验室安全管理工作。</w:t>
      </w:r>
    </w:p>
    <w:p w14:paraId="0D25E7C0">
      <w:pPr>
        <w:adjustRightInd w:val="0"/>
        <w:snapToGrid w:val="0"/>
        <w:spacing w:before="156" w:beforeLines="50"/>
        <w:rPr>
          <w:rFonts w:eastAsia="仿宋"/>
        </w:rPr>
      </w:pPr>
    </w:p>
    <w:p w14:paraId="023869A0">
      <w:pPr>
        <w:adjustRightInd w:val="0"/>
        <w:snapToGrid w:val="0"/>
        <w:spacing w:before="156" w:beforeLines="50"/>
        <w:rPr>
          <w:rFonts w:eastAsia="仿宋"/>
        </w:rPr>
      </w:pPr>
    </w:p>
    <w:sectPr>
      <w:footerReference r:id="rId5" w:type="default"/>
      <w:pgSz w:w="16838" w:h="11906" w:orient="landscape"/>
      <w:pgMar w:top="964" w:right="1587" w:bottom="964" w:left="1588" w:header="851" w:footer="992"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4DC89">
    <w:pPr>
      <w:pStyle w:val="13"/>
      <w:jc w:val="center"/>
      <w:rPr>
        <w:sz w:val="28"/>
        <w:szCs w:val="28"/>
      </w:rPr>
    </w:pP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rFonts w:hint="eastAsia"/>
        <w:sz w:val="28"/>
        <w:szCs w:val="28"/>
      </w:rPr>
      <w:t xml:space="preserve"> —</w:t>
    </w:r>
  </w:p>
  <w:p w14:paraId="1CDD5062">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65A42BD"/>
    <w:rsid w:val="06E62E5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307DF8"/>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B552A1"/>
    <w:rsid w:val="4DDB6F48"/>
    <w:rsid w:val="4DF0361D"/>
    <w:rsid w:val="4E9F73FB"/>
    <w:rsid w:val="50826996"/>
    <w:rsid w:val="5172570A"/>
    <w:rsid w:val="52C771B4"/>
    <w:rsid w:val="53623C7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E4814A7"/>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28D10-684D-485C-8496-9E811B5B9479}">
  <ds:schemaRefs/>
</ds:datastoreItem>
</file>

<file path=docProps/app.xml><?xml version="1.0" encoding="utf-8"?>
<Properties xmlns="http://schemas.openxmlformats.org/officeDocument/2006/extended-properties" xmlns:vt="http://schemas.openxmlformats.org/officeDocument/2006/docPropsVTypes">
  <Template>Normal</Template>
  <Pages>32</Pages>
  <Words>12313</Words>
  <Characters>13429</Characters>
  <Lines>146</Lines>
  <Paragraphs>41</Paragraphs>
  <TotalTime>86</TotalTime>
  <ScaleCrop>false</ScaleCrop>
  <LinksUpToDate>false</LinksUpToDate>
  <CharactersWithSpaces>13489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2026-03-24T23:51:00Z</dcterms:created>
  <dc:creator>kongjian</dc:creator>
  <cp:lastModifiedBy>小敏</cp:lastModifiedBy>
  <cp:lastPrinted>2026-04-28T07:08:00Z</cp:lastPrinted>
  <dcterms:modified xsi:type="dcterms:W3CDTF">2026-08-31T08:39:43Z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1F86821D018742C18BD737687B6AD7EF_13</vt:lpwstr>
  </property>
  <property fmtid="{D5CDD505-2E9C-101B-9397-08002B2CF9AE}" pid="4" name="KSOTemplateDocerSaveRecord">
    <vt:lpwstr>eyJoZGlkIjoiY2NmMDdiN2YzOTdkYTdkNDA3MWI0ZjYzYTk0ZmU2MDQiLCJ1c2VySWQiOiI3MzYzMTQ4NTEifQ==</vt:lpwstr>
  </property>
</Properties>
</file>