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6CBA90">
      <w:pPr>
        <w:jc w:val="center"/>
        <w:rPr>
          <w:rFonts w:hint="eastAsia" w:ascii="黑体" w:hAnsi="黑体" w:eastAsia="黑体" w:cs="黑体"/>
          <w:sz w:val="32"/>
          <w:szCs w:val="32"/>
        </w:rPr>
      </w:pPr>
      <w:r>
        <w:rPr>
          <w:rFonts w:hint="eastAsia" w:ascii="黑体" w:hAnsi="黑体" w:eastAsia="黑体" w:cs="黑体"/>
          <w:sz w:val="32"/>
          <w:szCs w:val="32"/>
        </w:rPr>
        <w:t>2026年广西</w:t>
      </w:r>
      <w:r>
        <w:rPr>
          <w:rFonts w:hint="eastAsia" w:ascii="黑体" w:hAnsi="黑体" w:eastAsia="黑体" w:cs="黑体"/>
          <w:sz w:val="32"/>
          <w:szCs w:val="32"/>
          <w:lang w:val="en-US" w:eastAsia="zh-CN"/>
        </w:rPr>
        <w:t>自然科学</w:t>
      </w:r>
      <w:r>
        <w:rPr>
          <w:rFonts w:hint="eastAsia" w:ascii="黑体" w:hAnsi="黑体" w:eastAsia="黑体" w:cs="黑体"/>
          <w:sz w:val="32"/>
          <w:szCs w:val="32"/>
        </w:rPr>
        <w:t>奖提名项目公示材料</w:t>
      </w:r>
    </w:p>
    <w:p w14:paraId="44FC5D2D"/>
    <w:p w14:paraId="157A20A9">
      <w:pPr>
        <w:numPr>
          <w:ilvl w:val="0"/>
          <w:numId w:val="1"/>
        </w:numPr>
        <w:spacing w:line="360" w:lineRule="auto"/>
        <w:rPr>
          <w:rFonts w:ascii="Times New Roman" w:eastAsia="黑体"/>
          <w:b/>
          <w:sz w:val="24"/>
        </w:rPr>
      </w:pPr>
      <w:r>
        <w:rPr>
          <w:rFonts w:hint="eastAsia" w:ascii="Times New Roman" w:eastAsia="黑体"/>
          <w:b/>
          <w:sz w:val="24"/>
        </w:rPr>
        <w:t>成果</w:t>
      </w:r>
      <w:r>
        <w:rPr>
          <w:rFonts w:ascii="Times New Roman" w:eastAsia="黑体"/>
          <w:b/>
          <w:sz w:val="24"/>
        </w:rPr>
        <w:t>名称</w:t>
      </w:r>
      <w:r>
        <w:rPr>
          <w:rFonts w:hint="eastAsia" w:ascii="Times New Roman" w:eastAsia="黑体"/>
          <w:b/>
          <w:sz w:val="24"/>
        </w:rPr>
        <w:t>：</w:t>
      </w:r>
      <w:r>
        <w:rPr>
          <w:rFonts w:hint="eastAsia" w:ascii="Times New Roman" w:eastAsia="黑体"/>
          <w:bCs/>
          <w:sz w:val="24"/>
        </w:rPr>
        <w:t>微结构光子体系中拓扑态调控与多参量传感机制</w:t>
      </w:r>
    </w:p>
    <w:p w14:paraId="469368C0">
      <w:pPr>
        <w:numPr>
          <w:ilvl w:val="0"/>
          <w:numId w:val="1"/>
        </w:numPr>
        <w:spacing w:line="360" w:lineRule="auto"/>
        <w:rPr>
          <w:sz w:val="24"/>
        </w:rPr>
      </w:pPr>
      <w:r>
        <w:rPr>
          <w:rFonts w:ascii="Times New Roman" w:eastAsia="黑体"/>
          <w:b/>
          <w:sz w:val="24"/>
        </w:rPr>
        <w:t>提名者</w:t>
      </w:r>
      <w:r>
        <w:rPr>
          <w:rFonts w:hint="eastAsia" w:ascii="Times New Roman" w:eastAsia="黑体"/>
          <w:b/>
          <w:sz w:val="24"/>
        </w:rPr>
        <w:t>：</w:t>
      </w:r>
      <w:r>
        <w:rPr>
          <w:rFonts w:hint="eastAsia" w:ascii="Times New Roman" w:eastAsia="黑体"/>
          <w:bCs/>
          <w:sz w:val="24"/>
        </w:rPr>
        <w:t>广西壮族自治区教育厅</w:t>
      </w:r>
    </w:p>
    <w:p w14:paraId="795A0D0D">
      <w:pPr>
        <w:numPr>
          <w:ilvl w:val="0"/>
          <w:numId w:val="1"/>
        </w:numPr>
        <w:spacing w:line="360" w:lineRule="auto"/>
        <w:rPr>
          <w:rFonts w:ascii="Times New Roman" w:eastAsia="黑体"/>
          <w:b/>
          <w:sz w:val="24"/>
        </w:rPr>
      </w:pPr>
      <w:r>
        <w:rPr>
          <w:rFonts w:ascii="Times New Roman" w:eastAsia="黑体"/>
          <w:b/>
          <w:sz w:val="24"/>
        </w:rPr>
        <w:t>代表性论文（专著）目录（不超过8篇）</w:t>
      </w:r>
    </w:p>
    <w:tbl>
      <w:tblPr>
        <w:tblStyle w:val="8"/>
        <w:tblW w:w="5380" w:type="pct"/>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18"/>
        <w:gridCol w:w="418"/>
        <w:gridCol w:w="2059"/>
        <w:gridCol w:w="847"/>
        <w:gridCol w:w="952"/>
        <w:gridCol w:w="1438"/>
        <w:gridCol w:w="3357"/>
        <w:gridCol w:w="594"/>
        <w:gridCol w:w="936"/>
        <w:gridCol w:w="726"/>
        <w:gridCol w:w="861"/>
        <w:gridCol w:w="528"/>
        <w:gridCol w:w="705"/>
        <w:gridCol w:w="750"/>
        <w:gridCol w:w="408"/>
      </w:tblGrid>
      <w:tr w14:paraId="57E421F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532" w:hRule="atLeast"/>
          <w:jc w:val="center"/>
        </w:trPr>
        <w:tc>
          <w:tcPr>
            <w:tcW w:w="139" w:type="pct"/>
            <w:tcBorders>
              <w:top w:val="single" w:color="auto" w:sz="8" w:space="0"/>
              <w:left w:val="single" w:color="auto" w:sz="8" w:space="0"/>
              <w:bottom w:val="single" w:color="auto" w:sz="4" w:space="0"/>
              <w:right w:val="single" w:color="auto" w:sz="4" w:space="0"/>
            </w:tcBorders>
            <w:tcMar>
              <w:top w:w="0" w:type="dxa"/>
              <w:left w:w="28" w:type="dxa"/>
              <w:bottom w:w="0" w:type="dxa"/>
              <w:right w:w="28" w:type="dxa"/>
            </w:tcMar>
            <w:vAlign w:val="center"/>
          </w:tcPr>
          <w:p w14:paraId="0841AA5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0" w:name="_Toc70090875"/>
            <w:r>
              <w:rPr>
                <w:rFonts w:ascii="Times New Roman" w:hAnsi="Times New Roman" w:eastAsia="方正黑体_GBK" w:cs="Times New Roman"/>
                <w:snapToGrid w:val="0"/>
                <w:sz w:val="18"/>
                <w:szCs w:val="18"/>
              </w:rPr>
              <w:t>排序</w:t>
            </w:r>
            <w:bookmarkEnd w:id="0"/>
          </w:p>
        </w:tc>
        <w:tc>
          <w:tcPr>
            <w:tcW w:w="13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E68ED05">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类型</w:t>
            </w:r>
          </w:p>
        </w:tc>
        <w:tc>
          <w:tcPr>
            <w:tcW w:w="68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30CFB136">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论文专著名称</w:t>
            </w:r>
          </w:p>
        </w:tc>
        <w:tc>
          <w:tcPr>
            <w:tcW w:w="28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2F748D1">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1" w:name="_Toc70090878"/>
            <w:r>
              <w:rPr>
                <w:rFonts w:ascii="Times New Roman" w:hAnsi="Times New Roman" w:eastAsia="方正黑体_GBK" w:cs="Times New Roman"/>
                <w:snapToGrid w:val="0"/>
                <w:sz w:val="18"/>
                <w:szCs w:val="18"/>
              </w:rPr>
              <w:t>年卷页</w:t>
            </w:r>
            <w:bookmarkEnd w:id="1"/>
            <w:bookmarkStart w:id="2" w:name="_Toc70090879"/>
            <w:bookmarkEnd w:id="2"/>
            <w:r>
              <w:rPr>
                <w:rFonts w:ascii="Times New Roman" w:hAnsi="Times New Roman" w:eastAsia="方正黑体_GBK" w:cs="Times New Roman"/>
                <w:snapToGrid w:val="0"/>
                <w:sz w:val="18"/>
                <w:szCs w:val="18"/>
              </w:rPr>
              <w:t>（</w:t>
            </w:r>
            <w:bookmarkStart w:id="3" w:name="_Toc70090880"/>
            <w:bookmarkEnd w:id="3"/>
            <w:r>
              <w:rPr>
                <w:rFonts w:ascii="Times New Roman" w:hAnsi="Times New Roman" w:eastAsia="方正黑体_GBK" w:cs="Times New Roman"/>
                <w:snapToGrid w:val="0"/>
                <w:sz w:val="18"/>
                <w:szCs w:val="18"/>
              </w:rPr>
              <w:t>版号）</w:t>
            </w:r>
          </w:p>
        </w:tc>
        <w:tc>
          <w:tcPr>
            <w:tcW w:w="31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6D3D7E31">
            <w:pPr>
              <w:adjustRightInd w:val="0"/>
              <w:snapToGrid w:val="0"/>
              <w:spacing w:line="320" w:lineRule="exact"/>
              <w:jc w:val="center"/>
              <w:rPr>
                <w:rFonts w:ascii="Times New Roman" w:hAnsi="Times New Roman" w:eastAsia="方正黑体_GBK" w:cs="Times New Roman"/>
                <w:snapToGrid w:val="0"/>
                <w:sz w:val="18"/>
                <w:szCs w:val="18"/>
              </w:rPr>
            </w:pPr>
            <w:bookmarkStart w:id="4" w:name="_Toc72832406"/>
            <w:r>
              <w:rPr>
                <w:rFonts w:ascii="Times New Roman" w:hAnsi="Times New Roman" w:eastAsia="方正黑体_GBK" w:cs="Times New Roman"/>
                <w:snapToGrid w:val="0"/>
                <w:sz w:val="18"/>
                <w:szCs w:val="18"/>
              </w:rPr>
              <w:t>发表日期</w:t>
            </w:r>
            <w:bookmarkEnd w:id="4"/>
          </w:p>
        </w:tc>
        <w:tc>
          <w:tcPr>
            <w:tcW w:w="479"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891C929">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5" w:name="_Toc70090886"/>
            <w:r>
              <w:rPr>
                <w:rFonts w:ascii="Times New Roman" w:hAnsi="Times New Roman" w:eastAsia="方正黑体_GBK" w:cs="Times New Roman"/>
                <w:snapToGrid w:val="0"/>
                <w:sz w:val="18"/>
                <w:szCs w:val="18"/>
              </w:rPr>
              <w:t>作者</w:t>
            </w:r>
            <w:bookmarkEnd w:id="5"/>
          </w:p>
        </w:tc>
        <w:tc>
          <w:tcPr>
            <w:tcW w:w="111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B202BE3">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6" w:name="_Toc72832412"/>
            <w:r>
              <w:rPr>
                <w:rFonts w:ascii="Times New Roman" w:hAnsi="Times New Roman" w:eastAsia="方正黑体_GBK" w:cs="Times New Roman"/>
                <w:snapToGrid w:val="0"/>
                <w:sz w:val="18"/>
                <w:szCs w:val="18"/>
              </w:rPr>
              <w:t>署名单位</w:t>
            </w:r>
            <w:bookmarkEnd w:id="6"/>
          </w:p>
        </w:tc>
        <w:tc>
          <w:tcPr>
            <w:tcW w:w="198"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17E674">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7" w:name="_Toc70090889"/>
            <w:r>
              <w:rPr>
                <w:rFonts w:ascii="Times New Roman" w:hAnsi="Times New Roman" w:eastAsia="方正黑体_GBK" w:cs="Times New Roman"/>
                <w:snapToGrid w:val="0"/>
                <w:sz w:val="18"/>
                <w:szCs w:val="18"/>
              </w:rPr>
              <w:t>署名第一单位是否为国内单位</w:t>
            </w:r>
          </w:p>
        </w:tc>
        <w:tc>
          <w:tcPr>
            <w:tcW w:w="31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7A5983C2">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刊名</w:t>
            </w:r>
            <w:bookmarkEnd w:id="7"/>
          </w:p>
        </w:tc>
        <w:tc>
          <w:tcPr>
            <w:tcW w:w="242"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2BA56F1">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hint="eastAsia" w:ascii="Times New Roman" w:hAnsi="Times New Roman" w:eastAsia="方正黑体_GBK" w:cs="Times New Roman"/>
                <w:snapToGrid w:val="0"/>
                <w:sz w:val="18"/>
                <w:szCs w:val="18"/>
              </w:rPr>
              <w:t>是否国内发表/国内出版</w:t>
            </w:r>
          </w:p>
        </w:tc>
        <w:tc>
          <w:tcPr>
            <w:tcW w:w="287"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5A777A7A">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通讯作者</w:t>
            </w:r>
          </w:p>
        </w:tc>
        <w:tc>
          <w:tcPr>
            <w:tcW w:w="176"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2ECCB690">
            <w:pPr>
              <w:adjustRightInd w:val="0"/>
              <w:snapToGrid w:val="0"/>
              <w:spacing w:line="320" w:lineRule="exact"/>
              <w:jc w:val="center"/>
              <w:outlineLvl w:val="1"/>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他引次数</w:t>
            </w:r>
          </w:p>
        </w:tc>
        <w:tc>
          <w:tcPr>
            <w:tcW w:w="235"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4D90F458">
            <w:pPr>
              <w:adjustRightInd w:val="0"/>
              <w:snapToGrid w:val="0"/>
              <w:spacing w:line="320" w:lineRule="exact"/>
              <w:jc w:val="center"/>
              <w:outlineLvl w:val="1"/>
              <w:rPr>
                <w:rFonts w:ascii="Times New Roman" w:hAnsi="Times New Roman" w:eastAsia="方正黑体_GBK" w:cs="Times New Roman"/>
                <w:snapToGrid w:val="0"/>
                <w:sz w:val="18"/>
                <w:szCs w:val="18"/>
              </w:rPr>
            </w:pPr>
            <w:bookmarkStart w:id="8" w:name="_Toc70090890"/>
            <w:r>
              <w:rPr>
                <w:rFonts w:ascii="Times New Roman" w:hAnsi="Times New Roman" w:eastAsia="方正黑体_GBK" w:cs="Times New Roman"/>
                <w:snapToGrid w:val="0"/>
                <w:sz w:val="18"/>
                <w:szCs w:val="18"/>
              </w:rPr>
              <w:t>检索数据库</w:t>
            </w:r>
            <w:bookmarkEnd w:id="8"/>
          </w:p>
        </w:tc>
        <w:tc>
          <w:tcPr>
            <w:tcW w:w="250" w:type="pct"/>
            <w:tcBorders>
              <w:top w:val="single" w:color="auto" w:sz="8" w:space="0"/>
              <w:left w:val="single" w:color="auto" w:sz="4" w:space="0"/>
              <w:bottom w:val="single" w:color="auto" w:sz="4" w:space="0"/>
              <w:right w:val="single" w:color="auto" w:sz="4" w:space="0"/>
            </w:tcBorders>
            <w:tcMar>
              <w:top w:w="0" w:type="dxa"/>
              <w:left w:w="28" w:type="dxa"/>
              <w:bottom w:w="0" w:type="dxa"/>
              <w:right w:w="28" w:type="dxa"/>
            </w:tcMar>
            <w:vAlign w:val="center"/>
          </w:tcPr>
          <w:p w14:paraId="11E70259">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前三</w:t>
            </w:r>
            <w:r>
              <w:rPr>
                <w:rFonts w:hint="eastAsia" w:ascii="Times New Roman" w:hAnsi="Times New Roman" w:eastAsia="方正黑体_GBK" w:cs="Times New Roman"/>
                <w:snapToGrid w:val="0"/>
                <w:sz w:val="18"/>
                <w:szCs w:val="18"/>
              </w:rPr>
              <w:t>作者</w:t>
            </w:r>
            <w:r>
              <w:rPr>
                <w:rFonts w:ascii="Times New Roman" w:hAnsi="Times New Roman" w:eastAsia="方正黑体_GBK" w:cs="Times New Roman"/>
                <w:snapToGrid w:val="0"/>
                <w:sz w:val="18"/>
                <w:szCs w:val="18"/>
              </w:rPr>
              <w:t>（含通讯作者）</w:t>
            </w:r>
            <w:r>
              <w:rPr>
                <w:rFonts w:hint="eastAsia" w:ascii="Times New Roman" w:hAnsi="Times New Roman" w:eastAsia="方正黑体_GBK" w:cs="Times New Roman"/>
                <w:snapToGrid w:val="0"/>
                <w:sz w:val="18"/>
                <w:szCs w:val="18"/>
              </w:rPr>
              <w:t>署名单位</w:t>
            </w:r>
            <w:r>
              <w:rPr>
                <w:rFonts w:ascii="Times New Roman" w:hAnsi="Times New Roman" w:eastAsia="方正黑体_GBK" w:cs="Times New Roman"/>
                <w:snapToGrid w:val="0"/>
                <w:sz w:val="18"/>
                <w:szCs w:val="18"/>
              </w:rPr>
              <w:t>是否</w:t>
            </w:r>
            <w:r>
              <w:rPr>
                <w:rFonts w:hint="eastAsia" w:ascii="Times New Roman" w:hAnsi="Times New Roman" w:eastAsia="方正黑体_GBK" w:cs="Times New Roman"/>
                <w:snapToGrid w:val="0"/>
                <w:sz w:val="18"/>
                <w:szCs w:val="18"/>
              </w:rPr>
              <w:t>包含</w:t>
            </w:r>
            <w:r>
              <w:rPr>
                <w:rFonts w:ascii="Times New Roman" w:hAnsi="Times New Roman" w:eastAsia="方正黑体_GBK" w:cs="Times New Roman"/>
                <w:snapToGrid w:val="0"/>
                <w:sz w:val="18"/>
                <w:szCs w:val="18"/>
              </w:rPr>
              <w:t>广西单位</w:t>
            </w:r>
          </w:p>
        </w:tc>
        <w:tc>
          <w:tcPr>
            <w:tcW w:w="136" w:type="pct"/>
            <w:tcBorders>
              <w:top w:val="single" w:color="auto" w:sz="8" w:space="0"/>
              <w:left w:val="single" w:color="auto" w:sz="4" w:space="0"/>
              <w:bottom w:val="single" w:color="auto" w:sz="4" w:space="0"/>
              <w:right w:val="single" w:color="auto" w:sz="8" w:space="0"/>
            </w:tcBorders>
            <w:tcMar>
              <w:top w:w="0" w:type="dxa"/>
              <w:left w:w="28" w:type="dxa"/>
              <w:bottom w:w="0" w:type="dxa"/>
              <w:right w:w="28" w:type="dxa"/>
            </w:tcMar>
            <w:vAlign w:val="center"/>
          </w:tcPr>
          <w:p w14:paraId="5D6EC4C2">
            <w:pPr>
              <w:adjustRightInd w:val="0"/>
              <w:snapToGrid w:val="0"/>
              <w:spacing w:line="320" w:lineRule="exact"/>
              <w:jc w:val="center"/>
              <w:rPr>
                <w:rFonts w:ascii="Times New Roman" w:hAnsi="Times New Roman" w:eastAsia="方正黑体_GBK" w:cs="Times New Roman"/>
                <w:snapToGrid w:val="0"/>
                <w:sz w:val="18"/>
                <w:szCs w:val="18"/>
              </w:rPr>
            </w:pPr>
            <w:r>
              <w:rPr>
                <w:rFonts w:ascii="Times New Roman" w:hAnsi="Times New Roman" w:eastAsia="方正黑体_GBK" w:cs="Times New Roman"/>
                <w:snapToGrid w:val="0"/>
                <w:sz w:val="18"/>
                <w:szCs w:val="18"/>
              </w:rPr>
              <w:t>附件</w:t>
            </w:r>
            <w:bookmarkStart w:id="9" w:name="_Toc70090891"/>
            <w:r>
              <w:rPr>
                <w:rFonts w:ascii="Times New Roman" w:hAnsi="Times New Roman" w:eastAsia="方正黑体_GBK" w:cs="Times New Roman"/>
                <w:snapToGrid w:val="0"/>
                <w:sz w:val="18"/>
                <w:szCs w:val="18"/>
              </w:rPr>
              <w:t>编号</w:t>
            </w:r>
            <w:bookmarkEnd w:id="9"/>
          </w:p>
        </w:tc>
      </w:tr>
      <w:tr w14:paraId="5891AB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8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A648901">
            <w:pPr>
              <w:adjustRightInd w:val="0"/>
              <w:snapToGrid w:val="0"/>
              <w:spacing w:line="320" w:lineRule="exact"/>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napToGrid w:val="0"/>
                <w:sz w:val="18"/>
                <w:szCs w:val="18"/>
              </w:rPr>
              <w:t>1</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1EBC5E">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DF64FA3">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Temperature and liquid refractive index sensor using P-D fiber structure-based Sagnac loop</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96293B6">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2018, 26(15), 18920–18927</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45B402">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2018-07-10</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AAAFBC">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Hanglin Lu (陆杭林), Yaoli Yue (岳耀笠), Jing Du (杜婧), Laipeng Shao (邵来鹏), Tianyin Wu (吴天银), Jiao Pan (潘角), Junhui Hu (胡君辉)</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17A6DA">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Guangxi Normal University (广西师范大学), The 34th Research Institute of China Electronics Technology Group Corporation (中国电子科技集团公司第三十四研究所), Guilin Kaige Information Technology Co. Ltd</w:t>
            </w:r>
            <w:r>
              <w:rPr>
                <w:rFonts w:hint="default" w:ascii="Times New Roman" w:hAnsi="Times New Roman" w:eastAsia="仿宋" w:cs="Times New Roman"/>
                <w:sz w:val="18"/>
                <w:szCs w:val="18"/>
              </w:rPr>
              <w:t>(</w:t>
            </w:r>
            <w:bookmarkStart w:id="10" w:name="_GoBack"/>
            <w:bookmarkEnd w:id="10"/>
            <w:r>
              <w:rPr>
                <w:rFonts w:hint="default" w:ascii="Times New Roman" w:hAnsi="Times New Roman" w:eastAsia="仿宋" w:cs="Times New Roman"/>
                <w:sz w:val="18"/>
                <w:szCs w:val="18"/>
              </w:rPr>
              <w:t>桂林凯歌信息技术有限公司）</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BA39AD8">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D6B60E0">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Optics Express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9D8519A">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FC2A6C">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Junhui Hu (胡君辉)</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220C0C">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49</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3D39697">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33674">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1A7F68CD">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附件1</w:t>
            </w:r>
          </w:p>
        </w:tc>
      </w:tr>
      <w:tr w14:paraId="50CF5F5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0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4F29D0E6">
            <w:pPr>
              <w:adjustRightInd w:val="0"/>
              <w:snapToGrid w:val="0"/>
              <w:spacing w:line="320" w:lineRule="exact"/>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napToGrid w:val="0"/>
                <w:sz w:val="18"/>
                <w:szCs w:val="18"/>
              </w:rPr>
              <w:t>2</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B6CEEC">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8C6EEA">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In-line reflected fiber sensor for simultaneous measurement of temperature and liquid level based on tapered few-mode fiber</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F202EA7">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2022, 30(5), 7870–7882</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018C29">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2022-02-23</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79BC2E">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Yichun Li (李依纯), Zhuo Song (宋卓), Jiao Pan (潘角), Hanglin Lu (陆杭林), Junhui Hu (胡君辉)</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540B30">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Guangxi Normal University (广西师范大学), Shanghai University (上海大学）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7404849">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F01696">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Optics Express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018B19F">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9930DC3">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Hanglin Lu (陆杭林), Junhui Hu (胡君辉)</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692305">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22</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930D140">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C110A79">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E9D54AF">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附件2</w:t>
            </w:r>
          </w:p>
        </w:tc>
      </w:tr>
      <w:tr w14:paraId="1C896F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09"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0F7B9ABE">
            <w:pPr>
              <w:adjustRightInd w:val="0"/>
              <w:snapToGrid w:val="0"/>
              <w:spacing w:line="320" w:lineRule="exact"/>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napToGrid w:val="0"/>
                <w:sz w:val="18"/>
                <w:szCs w:val="18"/>
              </w:rPr>
              <w:t>3</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3754D0">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CB1CC60">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Band topology in classical waves: Wilson-loop approach to topological numbers and fragile topology</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F5B98A5">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2019, 21(9), 093029</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161F497">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2019-09-16</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AFA2EF">
            <w:pPr>
              <w:adjustRightInd w:val="0"/>
              <w:snapToGrid w:val="0"/>
              <w:ind w:left="90" w:leftChars="0" w:hanging="90" w:hangingChars="5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Hai-Xiao Wang(王海啸), Guang-Yu Guo (郭光宇), Jian-Hua Jiang (蒋建华)</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9ACEF2">
            <w:pPr>
              <w:adjustRightInd w:val="0"/>
              <w:snapToGrid w:val="0"/>
              <w:jc w:val="center"/>
              <w:outlineLvl w:val="1"/>
              <w:rPr>
                <w:rFonts w:hint="default" w:ascii="Times New Roman" w:hAnsi="Times New Roman" w:eastAsia="仿宋" w:cs="Times New Roman"/>
                <w:sz w:val="18"/>
                <w:szCs w:val="18"/>
              </w:rPr>
            </w:pPr>
            <w:r>
              <w:rPr>
                <w:rFonts w:hint="default" w:ascii="Times New Roman" w:hAnsi="Times New Roman" w:eastAsia="仿宋" w:cs="Times New Roman"/>
                <w:sz w:val="18"/>
                <w:szCs w:val="18"/>
              </w:rPr>
              <w:t>Guangxi Normal University (广西师范大学), Soochow University</w:t>
            </w:r>
          </w:p>
          <w:p w14:paraId="7C111FCD">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(苏州大学), National Taiwan University (台湾大学), National Center for Theoretical Sciences (台湾理论科学研究中心)</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1B66313">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853EF5B">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New Journal of Physics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6FB5B80">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76D77DC">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Jian-Hua Jiang (蒋建华)</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33A3472">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217</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4110FF">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C3E295F">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DF36736">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附件3</w:t>
            </w:r>
          </w:p>
        </w:tc>
      </w:tr>
      <w:tr w14:paraId="5DAFFD1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721"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1004128">
            <w:pPr>
              <w:adjustRightInd w:val="0"/>
              <w:snapToGrid w:val="0"/>
              <w:spacing w:line="320" w:lineRule="exact"/>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napToGrid w:val="0"/>
                <w:sz w:val="18"/>
                <w:szCs w:val="18"/>
              </w:rPr>
              <w:t>4</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897AC8D">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D4041">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Higher-order topological phases in tunable C3 symmetric photonic crystals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A71BF03">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2021, 9(9), 1854–1864</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63F02B">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2021-08-31</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2F595DF">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Hai-Xiao Wang (王海啸), Li Liang (梁力), Bin Jiang (江彬), Junhui Hu (胡君辉), Xiancong Lu (陆显聪), Jian-Hua Jiang (蒋建华)</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2B65F3">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Guangxi Normal University (广西师范大学), Soochow University (苏州大学), Xiamen University (厦门大学)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594798E">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401B24C">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Photonics Research</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3A3CDD">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是（中外合作出版）</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99DC2A0">
            <w:pPr>
              <w:adjustRightInd w:val="0"/>
              <w:snapToGrid w:val="0"/>
              <w:jc w:val="center"/>
              <w:outlineLvl w:val="1"/>
              <w:rPr>
                <w:rFonts w:hint="default" w:ascii="Times New Roman" w:hAnsi="Times New Roman" w:eastAsia="仿宋" w:cs="Times New Roman"/>
                <w:sz w:val="18"/>
                <w:szCs w:val="18"/>
              </w:rPr>
            </w:pPr>
            <w:r>
              <w:rPr>
                <w:rFonts w:hint="default" w:ascii="Times New Roman" w:hAnsi="Times New Roman" w:eastAsia="仿宋" w:cs="Times New Roman"/>
                <w:sz w:val="18"/>
                <w:szCs w:val="18"/>
              </w:rPr>
              <w:t>Hai-Xiao Wang (王海啸)</w:t>
            </w:r>
          </w:p>
          <w:p w14:paraId="2FD6DAC1">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Jian-Hua Jiang (蒋建华)</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0110CCB">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93</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3D9C973">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75E0623">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586D538F">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附件4</w:t>
            </w:r>
          </w:p>
        </w:tc>
      </w:tr>
      <w:tr w14:paraId="29C35F8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9"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32768183">
            <w:pPr>
              <w:adjustRightInd w:val="0"/>
              <w:snapToGrid w:val="0"/>
              <w:spacing w:line="320" w:lineRule="exact"/>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napToGrid w:val="0"/>
                <w:sz w:val="18"/>
                <w:szCs w:val="18"/>
              </w:rPr>
              <w:t>5</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08FE9">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677850">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Rainbow trapping based on higher-order topological corner modes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A07FC86">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2022, 47(6), 1454–1457</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92A360">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2022-03-10</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1EC939">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Li Liang （梁力）, Xiaoxi Zhou (周晓溪), Jun-Hui Hu (胡君辉), Hai-Xiao Wang (王海啸), Jian-Hua Jiang (蒋建华), Bo Hou (侯波)</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3906EC3">
            <w:pPr>
              <w:adjustRightInd w:val="0"/>
              <w:snapToGrid w:val="0"/>
              <w:jc w:val="center"/>
              <w:outlineLvl w:val="1"/>
              <w:rPr>
                <w:rFonts w:hint="default" w:ascii="Times New Roman" w:hAnsi="Times New Roman" w:eastAsia="仿宋" w:cs="Times New Roman"/>
                <w:sz w:val="18"/>
                <w:szCs w:val="18"/>
              </w:rPr>
            </w:pPr>
            <w:r>
              <w:rPr>
                <w:rFonts w:hint="default" w:ascii="Times New Roman" w:hAnsi="Times New Roman" w:eastAsia="仿宋" w:cs="Times New Roman"/>
                <w:sz w:val="18"/>
                <w:szCs w:val="18"/>
              </w:rPr>
              <w:t>Guangxi Normal University (广西师范大学), Soochow University</w:t>
            </w:r>
          </w:p>
          <w:p w14:paraId="50906690">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苏州大学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51BBA8B">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262315">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Optics Letters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0FAFB18">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80D637">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Hai-Xiao Wang (王海啸), Bo Hou (侯波)</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E1CE0F2">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54</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6676DD">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748A4D5">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2F83C579">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附件5</w:t>
            </w:r>
          </w:p>
        </w:tc>
      </w:tr>
      <w:tr w14:paraId="4A4898B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2"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20420704">
            <w:pPr>
              <w:adjustRightInd w:val="0"/>
              <w:snapToGrid w:val="0"/>
              <w:spacing w:line="320" w:lineRule="exact"/>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napToGrid w:val="0"/>
                <w:sz w:val="18"/>
                <w:szCs w:val="18"/>
              </w:rPr>
              <w:t>6</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C41CF7D">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DEA675">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Hybrid topological photonic crystals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1A802CC">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2023, 14, 4457</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0939241">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2023-07-25</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4F1C65A">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Yanan Wang (王雅楠), Hai-Xiao Wang (王海啸）, Li Liang （梁力）, Weiwei Zhu (朱伟伟), Longzhen Fan (范龙振), Zhi-Kang Lin (林志康), Feifei Li (李菲菲), Xiao Zhang (张啸), Pi-Gang Luan (栾丕纲), Yin Poo (浦寅) Jian-Hua Jiang (蒋建华), Guang-Yu Guo (郭光宇)</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48C1CC2">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Nanjing University (南京大学), Guangxi Normal University (广西师范大学), Ocean University of China(中国海洋大学), Soochow University  (苏州大学), National Central University (台湾中央大学), University of Science and Technology of China (中国科学技术大学), National Taiwan University (台湾大学), National Center for Theoretical Sciences (台湾理论科学研究中心)</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89FAA3">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81E606D">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Nature Communications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E8A621">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2F88863">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Hai-Xiao Wang (王海啸), Yin Poo (浦寅), Jian-Hua Jiang (蒋建华), Guang-Yu Guo (郭光宇)</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1FFBBE">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107</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F99020">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FA68A75">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6D2DEA3">
            <w:pPr>
              <w:adjustRightInd w:val="0"/>
              <w:snapToGrid w:val="0"/>
              <w:jc w:val="center"/>
              <w:outlineLvl w:val="1"/>
              <w:rPr>
                <w:rFonts w:hint="default" w:ascii="Times New Roman" w:hAnsi="Times New Roman" w:eastAsia="仿宋" w:cs="Times New Roman"/>
                <w:snapToGrid w:val="0"/>
                <w:sz w:val="18"/>
                <w:szCs w:val="18"/>
                <w:highlight w:val="yellow"/>
              </w:rPr>
            </w:pPr>
            <w:r>
              <w:rPr>
                <w:rFonts w:hint="default" w:ascii="Times New Roman" w:hAnsi="Times New Roman" w:eastAsia="仿宋" w:cs="Times New Roman"/>
                <w:sz w:val="18"/>
                <w:szCs w:val="18"/>
              </w:rPr>
              <w:t>附件6</w:t>
            </w:r>
          </w:p>
        </w:tc>
      </w:tr>
      <w:tr w14:paraId="6A1963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764"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CD5192">
            <w:pPr>
              <w:adjustRightInd w:val="0"/>
              <w:snapToGrid w:val="0"/>
              <w:spacing w:line="320" w:lineRule="exact"/>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napToGrid w:val="0"/>
                <w:sz w:val="18"/>
                <w:szCs w:val="18"/>
              </w:rPr>
              <w:t>7</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59D958">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4F5B919">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Topological edge and corner states in honeycomb-kagome photonic crystals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0C6FFE6">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2023, 31(11), 17695–17708</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C3E5F1">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2023-05-10</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D089BC4">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Shuai Shao (邵帅), Li Liang （梁力）, Jun-Hui Hu (胡君辉), Yin Poo (浦寅), Hai-Xiao Wang (王海啸)</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4AAC69F">
            <w:pPr>
              <w:adjustRightInd w:val="0"/>
              <w:snapToGrid w:val="0"/>
              <w:jc w:val="center"/>
              <w:outlineLvl w:val="1"/>
              <w:rPr>
                <w:rFonts w:hint="default" w:ascii="Times New Roman" w:hAnsi="Times New Roman" w:eastAsia="仿宋" w:cs="Times New Roman"/>
                <w:sz w:val="18"/>
                <w:szCs w:val="18"/>
              </w:rPr>
            </w:pPr>
            <w:r>
              <w:rPr>
                <w:rFonts w:hint="default" w:ascii="Times New Roman" w:hAnsi="Times New Roman" w:eastAsia="仿宋" w:cs="Times New Roman"/>
                <w:sz w:val="18"/>
                <w:szCs w:val="18"/>
              </w:rPr>
              <w:t>Guangxi Normal University (广西师范大学),</w:t>
            </w:r>
          </w:p>
          <w:p w14:paraId="2ECC6B12">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Nanjing University (南京大学)</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166F8DD">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DFD4FD4">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Optics Express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26B2323">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214DA273">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Hai-Xiao Wang (王海啸),</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32DC7349">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24</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5BDD3A2">
            <w:pPr>
              <w:adjustRightInd w:val="0"/>
              <w:snapToGrid w:val="0"/>
              <w:jc w:val="center"/>
              <w:outlineLvl w:val="1"/>
              <w:rPr>
                <w:rFonts w:hint="default" w:ascii="Times New Roman" w:hAnsi="Times New Roman" w:eastAsia="仿宋" w:cs="Times New Roman"/>
                <w:b/>
                <w:bCs/>
                <w:snapToGrid w:val="0"/>
                <w:sz w:val="18"/>
                <w:szCs w:val="18"/>
              </w:rPr>
            </w:pPr>
            <w:r>
              <w:rPr>
                <w:rFonts w:hint="default" w:ascii="Times New Roman" w:hAnsi="Times New Roman" w:eastAsia="仿宋" w:cs="Times New Roman"/>
                <w:sz w:val="18"/>
                <w:szCs w:val="18"/>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5F17195">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73068BB5">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附件7</w:t>
            </w:r>
          </w:p>
        </w:tc>
      </w:tr>
      <w:tr w14:paraId="3EE540A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95" w:hRule="atLeast"/>
          <w:jc w:val="center"/>
        </w:trPr>
        <w:tc>
          <w:tcPr>
            <w:tcW w:w="417" w:type="dxa"/>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7E02C7D6">
            <w:pPr>
              <w:adjustRightInd w:val="0"/>
              <w:snapToGrid w:val="0"/>
              <w:spacing w:line="320" w:lineRule="exact"/>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napToGrid w:val="0"/>
                <w:sz w:val="18"/>
                <w:szCs w:val="18"/>
              </w:rPr>
              <w:t>8</w:t>
            </w:r>
          </w:p>
        </w:tc>
        <w:tc>
          <w:tcPr>
            <w:tcW w:w="417"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F746522">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论文</w:t>
            </w:r>
          </w:p>
        </w:tc>
        <w:tc>
          <w:tcPr>
            <w:tcW w:w="205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0A2C3296">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Possible realization of optical Dirac points in woodpile photonic crystals</w:t>
            </w:r>
          </w:p>
        </w:tc>
        <w:tc>
          <w:tcPr>
            <w:tcW w:w="84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76E3CB9">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2022, 30(10), 17204–17220</w:t>
            </w:r>
          </w:p>
        </w:tc>
        <w:tc>
          <w:tcPr>
            <w:tcW w:w="953"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B7DCCAE">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2022-05-03</w:t>
            </w:r>
          </w:p>
        </w:tc>
        <w:tc>
          <w:tcPr>
            <w:tcW w:w="1439"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ACDC0AB">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Hai-Xiao Wang (王海啸), Yige Chen (陈一格), Guang-Yu Guo (郭光宇), Hae-Young Kee (奇海英), Jian-Hua Jiang (蒋建华)</w:t>
            </w:r>
          </w:p>
        </w:tc>
        <w:tc>
          <w:tcPr>
            <w:tcW w:w="335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6779699">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Guangxi Normal University (广西师范大学), Soochow University (苏州大学), National Taiwan University  (台湾大学), University of Toronto (多伦多大学), Canadian Institute for Advanced Research (加拿大高等研究院)</w:t>
            </w:r>
          </w:p>
        </w:tc>
        <w:tc>
          <w:tcPr>
            <w:tcW w:w="59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A2EA6A5">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93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E6E11AF">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Optics Express</w:t>
            </w:r>
          </w:p>
        </w:tc>
        <w:tc>
          <w:tcPr>
            <w:tcW w:w="72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4652FE5E">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否</w:t>
            </w:r>
          </w:p>
        </w:tc>
        <w:tc>
          <w:tcPr>
            <w:tcW w:w="864"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6362FDD5">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Guang-Yu Guo (郭光宇), Hae-Young Kee (奇海英), Jian-Hua Jiang (蒋建华)</w:t>
            </w:r>
          </w:p>
        </w:tc>
        <w:tc>
          <w:tcPr>
            <w:tcW w:w="528"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F3522A8">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8</w:t>
            </w:r>
          </w:p>
        </w:tc>
        <w:tc>
          <w:tcPr>
            <w:tcW w:w="706"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5EB58301">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SCIE</w:t>
            </w:r>
          </w:p>
        </w:tc>
        <w:tc>
          <w:tcPr>
            <w:tcW w:w="750" w:type="dxa"/>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A97D1F1">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是</w:t>
            </w:r>
          </w:p>
        </w:tc>
        <w:tc>
          <w:tcPr>
            <w:tcW w:w="408" w:type="dxa"/>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3CB4F3CD">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z w:val="18"/>
                <w:szCs w:val="18"/>
              </w:rPr>
              <w:t>附件8</w:t>
            </w:r>
          </w:p>
        </w:tc>
      </w:tr>
      <w:tr w14:paraId="7D030CC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78" w:hRule="atLeast"/>
          <w:jc w:val="center"/>
        </w:trPr>
        <w:tc>
          <w:tcPr>
            <w:tcW w:w="834" w:type="dxa"/>
            <w:gridSpan w:val="2"/>
            <w:tcBorders>
              <w:top w:val="single" w:color="auto" w:sz="4" w:space="0"/>
              <w:left w:val="single" w:color="auto" w:sz="8" w:space="0"/>
              <w:bottom w:val="single" w:color="auto" w:sz="4" w:space="0"/>
              <w:right w:val="single" w:color="auto" w:sz="4" w:space="0"/>
            </w:tcBorders>
            <w:tcMar>
              <w:top w:w="0" w:type="dxa"/>
              <w:left w:w="28" w:type="dxa"/>
              <w:bottom w:w="0" w:type="dxa"/>
              <w:right w:w="28" w:type="dxa"/>
            </w:tcMar>
            <w:vAlign w:val="center"/>
          </w:tcPr>
          <w:p w14:paraId="5F37759A">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napToGrid w:val="0"/>
                <w:sz w:val="18"/>
                <w:szCs w:val="18"/>
              </w:rPr>
              <w:t>国内发表/国内出版数量</w:t>
            </w:r>
          </w:p>
        </w:tc>
        <w:tc>
          <w:tcPr>
            <w:tcW w:w="5296"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7B3F1B2F">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napToGrid w:val="0"/>
                <w:sz w:val="18"/>
                <w:szCs w:val="18"/>
              </w:rPr>
              <w:t>1</w:t>
            </w:r>
          </w:p>
        </w:tc>
        <w:tc>
          <w:tcPr>
            <w:tcW w:w="5612" w:type="dxa"/>
            <w:gridSpan w:val="4"/>
            <w:tcBorders>
              <w:top w:val="single" w:color="auto" w:sz="4" w:space="0"/>
              <w:left w:val="single" w:color="auto" w:sz="4" w:space="0"/>
              <w:bottom w:val="single" w:color="auto" w:sz="4" w:space="0"/>
              <w:right w:val="single" w:color="auto" w:sz="4" w:space="0"/>
            </w:tcBorders>
            <w:tcMar>
              <w:top w:w="0" w:type="dxa"/>
              <w:left w:w="28" w:type="dxa"/>
              <w:bottom w:w="0" w:type="dxa"/>
              <w:right w:w="28" w:type="dxa"/>
            </w:tcMar>
            <w:vAlign w:val="center"/>
          </w:tcPr>
          <w:p w14:paraId="121D70C9">
            <w:pPr>
              <w:adjustRightInd w:val="0"/>
              <w:snapToGrid w:val="0"/>
              <w:jc w:val="center"/>
              <w:outlineLvl w:val="1"/>
              <w:rPr>
                <w:rFonts w:hint="default" w:ascii="Times New Roman" w:hAnsi="Times New Roman" w:eastAsia="仿宋" w:cs="Times New Roman"/>
                <w:snapToGrid w:val="0"/>
                <w:sz w:val="18"/>
                <w:szCs w:val="18"/>
              </w:rPr>
            </w:pPr>
            <w:r>
              <w:rPr>
                <w:rFonts w:hint="default" w:ascii="Times New Roman" w:hAnsi="Times New Roman" w:eastAsia="仿宋" w:cs="Times New Roman"/>
                <w:snapToGrid w:val="0"/>
                <w:sz w:val="18"/>
                <w:szCs w:val="18"/>
              </w:rPr>
              <w:t>前三作者（含通讯作者）署名单位包含广西单位占比</w:t>
            </w:r>
          </w:p>
        </w:tc>
        <w:tc>
          <w:tcPr>
            <w:tcW w:w="3256" w:type="dxa"/>
            <w:gridSpan w:val="5"/>
            <w:tcBorders>
              <w:top w:val="single" w:color="auto" w:sz="4" w:space="0"/>
              <w:left w:val="single" w:color="auto" w:sz="4" w:space="0"/>
              <w:bottom w:val="single" w:color="auto" w:sz="4" w:space="0"/>
              <w:right w:val="single" w:color="auto" w:sz="8" w:space="0"/>
            </w:tcBorders>
            <w:tcMar>
              <w:top w:w="0" w:type="dxa"/>
              <w:left w:w="28" w:type="dxa"/>
              <w:bottom w:w="0" w:type="dxa"/>
              <w:right w:w="28" w:type="dxa"/>
            </w:tcMar>
            <w:vAlign w:val="center"/>
          </w:tcPr>
          <w:p w14:paraId="422ADFAB">
            <w:pPr>
              <w:jc w:val="center"/>
              <w:rPr>
                <w:rFonts w:hint="default" w:ascii="Times New Roman" w:hAnsi="Times New Roman" w:eastAsia="仿宋" w:cs="Times New Roman"/>
                <w:snapToGrid w:val="0"/>
                <w:sz w:val="18"/>
                <w:szCs w:val="18"/>
              </w:rPr>
            </w:pPr>
            <w:r>
              <w:rPr>
                <w:rFonts w:hint="default" w:ascii="Times New Roman" w:hAnsi="Times New Roman" w:eastAsia="仿宋" w:cs="Times New Roman"/>
                <w:snapToGrid w:val="0"/>
                <w:sz w:val="18"/>
                <w:szCs w:val="18"/>
              </w:rPr>
              <w:t>100%</w:t>
            </w:r>
          </w:p>
        </w:tc>
      </w:tr>
    </w:tbl>
    <w:p w14:paraId="115A225B">
      <w:pPr>
        <w:spacing w:line="360" w:lineRule="auto"/>
        <w:rPr>
          <w:rFonts w:ascii="Times New Roman" w:eastAsia="黑体"/>
          <w:b/>
          <w:sz w:val="24"/>
        </w:rPr>
      </w:pPr>
      <w:r>
        <w:rPr>
          <w:rFonts w:hint="eastAsia" w:ascii="Times New Roman" w:eastAsia="黑体"/>
          <w:b/>
          <w:sz w:val="24"/>
        </w:rPr>
        <w:t>四、候选人姓名</w:t>
      </w:r>
    </w:p>
    <w:p w14:paraId="569536CD">
      <w:pPr>
        <w:spacing w:line="360" w:lineRule="auto"/>
        <w:rPr>
          <w:rFonts w:ascii="Times New Roman" w:eastAsia="黑体"/>
          <w:bCs/>
          <w:sz w:val="24"/>
        </w:rPr>
      </w:pPr>
      <w:r>
        <w:rPr>
          <w:rFonts w:hint="eastAsia" w:ascii="Times New Roman" w:eastAsia="黑体"/>
          <w:bCs/>
          <w:sz w:val="24"/>
        </w:rPr>
        <w:t>胡君辉、王海啸、陆杭林</w:t>
      </w:r>
    </w:p>
    <w:p w14:paraId="3F0A7858">
      <w:pPr>
        <w:spacing w:line="360" w:lineRule="auto"/>
        <w:rPr>
          <w:rFonts w:ascii="Times New Roman" w:eastAsia="黑体"/>
          <w:b/>
          <w:sz w:val="24"/>
        </w:rPr>
      </w:pPr>
      <w:r>
        <w:rPr>
          <w:rFonts w:hint="eastAsia" w:ascii="Times New Roman" w:eastAsia="黑体"/>
          <w:b/>
          <w:sz w:val="24"/>
        </w:rPr>
        <w:t>五、候选组织名称</w:t>
      </w:r>
    </w:p>
    <w:p w14:paraId="46A6EFDC">
      <w:pPr>
        <w:spacing w:line="360" w:lineRule="auto"/>
        <w:rPr>
          <w:rFonts w:ascii="Times New Roman" w:eastAsia="黑体"/>
          <w:bCs/>
          <w:sz w:val="24"/>
        </w:rPr>
      </w:pPr>
      <w:r>
        <w:rPr>
          <w:rFonts w:hint="eastAsia" w:ascii="Times New Roman" w:eastAsia="黑体"/>
          <w:bCs/>
          <w:sz w:val="24"/>
        </w:rPr>
        <w:t>广西师范大学、宁波大学</w:t>
      </w:r>
    </w:p>
    <w:p w14:paraId="19A96BFC">
      <w:pPr>
        <w:spacing w:line="406" w:lineRule="exact"/>
        <w:outlineLvl w:val="1"/>
        <w:rPr>
          <w:rFonts w:ascii="Times New Roman" w:eastAsia="黑体"/>
          <w:b/>
          <w:sz w:val="24"/>
        </w:rPr>
      </w:pPr>
      <w:r>
        <w:rPr>
          <w:rFonts w:hint="eastAsia" w:ascii="Times New Roman" w:eastAsia="黑体"/>
          <w:b/>
          <w:sz w:val="24"/>
        </w:rPr>
        <w:t>六、候选个人合作情况</w:t>
      </w:r>
    </w:p>
    <w:p w14:paraId="4399B4DE">
      <w:pPr>
        <w:autoSpaceDE w:val="0"/>
        <w:autoSpaceDN w:val="0"/>
        <w:adjustRightInd w:val="0"/>
        <w:snapToGrid w:val="0"/>
        <w:spacing w:before="156" w:beforeLines="50" w:line="312" w:lineRule="auto"/>
        <w:rPr>
          <w:rFonts w:hint="eastAsia"/>
        </w:rPr>
      </w:pPr>
      <w:r>
        <w:rPr>
          <w:rFonts w:hint="eastAsia"/>
        </w:rPr>
        <w:t>第一候选人胡君辉现任职于广西师范大学，第二候选人王海啸现任职于宁波大学。王海啸于2018年至2023年在广西师范大学任职，期间与第一候选人胡君辉围绕光子晶体拓扑物态及其调控开展了长期合作，形成了理论分析、数值模拟与实验研究相互配合的合作机制，并共同完成了本项目相关研究成果。2023年王海啸离开广西师范大学并入职宁波大学，两位候选人目前分属不同工作单位。本项目候选人排序依据各自在相关科学发现和代表性成果形成过程中的实际贡献确定，胡君辉为第一候选人，王海啸为第二候选人。</w:t>
      </w:r>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方正黑体_GBK">
    <w:altName w:val="微软雅黑"/>
    <w:panose1 w:val="00000000000000000000"/>
    <w:charset w:val="86"/>
    <w:family w:val="script"/>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方正仿宋_GBK">
    <w:altName w:val="微软雅黑"/>
    <w:panose1 w:val="00000000000000000000"/>
    <w:charset w:val="86"/>
    <w:family w:val="script"/>
    <w:pitch w:val="default"/>
    <w:sig w:usb0="00000000" w:usb1="00000000" w:usb2="00000000" w:usb3="00000000" w:csb0="0004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885FFD2"/>
    <w:multiLevelType w:val="singleLevel"/>
    <w:tmpl w:val="8885FFD2"/>
    <w:lvl w:ilvl="0" w:tentative="0">
      <w:start w:val="1"/>
      <w:numFmt w:val="chineseCounting"/>
      <w:suff w:val="nothing"/>
      <w:lvlText w:val="%1、"/>
      <w:lvlJc w:val="left"/>
      <w:rPr>
        <w:rFonts w:hint="eastAsia" w:ascii="黑体" w:hAnsi="黑体" w:eastAsia="黑体"/>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attachedTemplate r:id="rId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mI0Yjg1YmE0ZDNhMzU4NGQ2ZWZlN2Q4MTI2NTI3ZWMifQ=="/>
  </w:docVars>
  <w:rsids>
    <w:rsidRoot w:val="4DD264DD"/>
    <w:rsid w:val="0001313B"/>
    <w:rsid w:val="00025B2A"/>
    <w:rsid w:val="00040064"/>
    <w:rsid w:val="00061CFF"/>
    <w:rsid w:val="000666A3"/>
    <w:rsid w:val="000B7FF8"/>
    <w:rsid w:val="000E0F91"/>
    <w:rsid w:val="000F2FC3"/>
    <w:rsid w:val="001254AD"/>
    <w:rsid w:val="00143CF2"/>
    <w:rsid w:val="001A1A4F"/>
    <w:rsid w:val="001B417A"/>
    <w:rsid w:val="001B4B65"/>
    <w:rsid w:val="001E70E5"/>
    <w:rsid w:val="00221B3D"/>
    <w:rsid w:val="00234868"/>
    <w:rsid w:val="0026751C"/>
    <w:rsid w:val="002A18FA"/>
    <w:rsid w:val="002C6BAF"/>
    <w:rsid w:val="00315BB9"/>
    <w:rsid w:val="003C6479"/>
    <w:rsid w:val="003C7B67"/>
    <w:rsid w:val="003D2E7B"/>
    <w:rsid w:val="003D7114"/>
    <w:rsid w:val="00412131"/>
    <w:rsid w:val="00452913"/>
    <w:rsid w:val="00484230"/>
    <w:rsid w:val="004B6E60"/>
    <w:rsid w:val="00531CAC"/>
    <w:rsid w:val="00531D20"/>
    <w:rsid w:val="00533494"/>
    <w:rsid w:val="005503B6"/>
    <w:rsid w:val="00553848"/>
    <w:rsid w:val="00574D3C"/>
    <w:rsid w:val="0059142C"/>
    <w:rsid w:val="005D6332"/>
    <w:rsid w:val="005F5887"/>
    <w:rsid w:val="006136EF"/>
    <w:rsid w:val="006629D3"/>
    <w:rsid w:val="00670438"/>
    <w:rsid w:val="00683F50"/>
    <w:rsid w:val="006A6DC6"/>
    <w:rsid w:val="006C586C"/>
    <w:rsid w:val="006F422C"/>
    <w:rsid w:val="007066C9"/>
    <w:rsid w:val="0070703B"/>
    <w:rsid w:val="007A4B3E"/>
    <w:rsid w:val="007D4A61"/>
    <w:rsid w:val="00804593"/>
    <w:rsid w:val="00810BF9"/>
    <w:rsid w:val="0081273C"/>
    <w:rsid w:val="00830925"/>
    <w:rsid w:val="00833D4B"/>
    <w:rsid w:val="00856D6C"/>
    <w:rsid w:val="0087775B"/>
    <w:rsid w:val="00877FD5"/>
    <w:rsid w:val="008A0665"/>
    <w:rsid w:val="009153E2"/>
    <w:rsid w:val="0099033F"/>
    <w:rsid w:val="009A38FA"/>
    <w:rsid w:val="009C218F"/>
    <w:rsid w:val="009D037C"/>
    <w:rsid w:val="00A277F9"/>
    <w:rsid w:val="00A82F4C"/>
    <w:rsid w:val="00AC372C"/>
    <w:rsid w:val="00B01EA2"/>
    <w:rsid w:val="00B378F3"/>
    <w:rsid w:val="00B607DF"/>
    <w:rsid w:val="00B6100D"/>
    <w:rsid w:val="00BA4AE0"/>
    <w:rsid w:val="00BB47C9"/>
    <w:rsid w:val="00BC5FE3"/>
    <w:rsid w:val="00C02262"/>
    <w:rsid w:val="00C44114"/>
    <w:rsid w:val="00CA41E5"/>
    <w:rsid w:val="00CA470A"/>
    <w:rsid w:val="00CD078F"/>
    <w:rsid w:val="00CF14FC"/>
    <w:rsid w:val="00D24D41"/>
    <w:rsid w:val="00D30007"/>
    <w:rsid w:val="00D4078E"/>
    <w:rsid w:val="00D96CAB"/>
    <w:rsid w:val="00D972AE"/>
    <w:rsid w:val="00DC1E37"/>
    <w:rsid w:val="00DE4C29"/>
    <w:rsid w:val="00DF121B"/>
    <w:rsid w:val="00DF58F0"/>
    <w:rsid w:val="00E202AA"/>
    <w:rsid w:val="00E71DA4"/>
    <w:rsid w:val="00EF5ECD"/>
    <w:rsid w:val="00F00AED"/>
    <w:rsid w:val="00F22F47"/>
    <w:rsid w:val="00F43C3C"/>
    <w:rsid w:val="00F7774A"/>
    <w:rsid w:val="00F80A70"/>
    <w:rsid w:val="00FA2919"/>
    <w:rsid w:val="00FB1331"/>
    <w:rsid w:val="00FC4F2D"/>
    <w:rsid w:val="00FC77B0"/>
    <w:rsid w:val="034A492C"/>
    <w:rsid w:val="04AC3F9B"/>
    <w:rsid w:val="063A1D84"/>
    <w:rsid w:val="07DC7F5D"/>
    <w:rsid w:val="08A136D0"/>
    <w:rsid w:val="0D077DD0"/>
    <w:rsid w:val="0D300D24"/>
    <w:rsid w:val="0D581F25"/>
    <w:rsid w:val="0E5011DB"/>
    <w:rsid w:val="118F73BD"/>
    <w:rsid w:val="12E106A8"/>
    <w:rsid w:val="14D44B46"/>
    <w:rsid w:val="15051099"/>
    <w:rsid w:val="17B55412"/>
    <w:rsid w:val="1846583E"/>
    <w:rsid w:val="184C3B0E"/>
    <w:rsid w:val="1AAF4592"/>
    <w:rsid w:val="1B5B0D00"/>
    <w:rsid w:val="1CF664DC"/>
    <w:rsid w:val="1DD71A40"/>
    <w:rsid w:val="1E2945F3"/>
    <w:rsid w:val="1FCE5B03"/>
    <w:rsid w:val="200336C9"/>
    <w:rsid w:val="20FF7618"/>
    <w:rsid w:val="21CF7850"/>
    <w:rsid w:val="21D47CFA"/>
    <w:rsid w:val="2234120F"/>
    <w:rsid w:val="22CD6F6E"/>
    <w:rsid w:val="23627FFE"/>
    <w:rsid w:val="262A1823"/>
    <w:rsid w:val="27C178BD"/>
    <w:rsid w:val="2AFD403A"/>
    <w:rsid w:val="2BEA5201"/>
    <w:rsid w:val="2C1B22F5"/>
    <w:rsid w:val="2D782F8C"/>
    <w:rsid w:val="2E76184A"/>
    <w:rsid w:val="2E937BAF"/>
    <w:rsid w:val="30C54D2C"/>
    <w:rsid w:val="354F7A5C"/>
    <w:rsid w:val="37E82428"/>
    <w:rsid w:val="3D5C7B44"/>
    <w:rsid w:val="3F7A24B6"/>
    <w:rsid w:val="40200920"/>
    <w:rsid w:val="44BF4285"/>
    <w:rsid w:val="44CE0CDE"/>
    <w:rsid w:val="45F4643C"/>
    <w:rsid w:val="49C2364F"/>
    <w:rsid w:val="4B606CA4"/>
    <w:rsid w:val="4DD264DD"/>
    <w:rsid w:val="53DD2C05"/>
    <w:rsid w:val="543B201B"/>
    <w:rsid w:val="54946CD8"/>
    <w:rsid w:val="54E91255"/>
    <w:rsid w:val="54ED2391"/>
    <w:rsid w:val="555F7705"/>
    <w:rsid w:val="55977CE7"/>
    <w:rsid w:val="56877A75"/>
    <w:rsid w:val="57D04A0C"/>
    <w:rsid w:val="58215354"/>
    <w:rsid w:val="5AD7476A"/>
    <w:rsid w:val="5BFC7C93"/>
    <w:rsid w:val="5DB84FF3"/>
    <w:rsid w:val="5FEC2DAE"/>
    <w:rsid w:val="60A05A85"/>
    <w:rsid w:val="62F433AC"/>
    <w:rsid w:val="62FA7A7A"/>
    <w:rsid w:val="64293540"/>
    <w:rsid w:val="6492182D"/>
    <w:rsid w:val="6700402F"/>
    <w:rsid w:val="693826BE"/>
    <w:rsid w:val="6D535020"/>
    <w:rsid w:val="6FD721E7"/>
    <w:rsid w:val="73071C95"/>
    <w:rsid w:val="763703FC"/>
    <w:rsid w:val="76980E27"/>
    <w:rsid w:val="783A1D97"/>
    <w:rsid w:val="78EB5000"/>
    <w:rsid w:val="796E7CD8"/>
    <w:rsid w:val="7A6B4D41"/>
    <w:rsid w:val="7D283C84"/>
    <w:rsid w:val="7EF649F8"/>
    <w:rsid w:val="7FCA037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uiPriority w:val="99"/>
    <w:tblPr>
      <w:tblCellMar>
        <w:top w:w="0" w:type="dxa"/>
        <w:left w:w="108" w:type="dxa"/>
        <w:bottom w:w="0" w:type="dxa"/>
        <w:right w:w="108" w:type="dxa"/>
      </w:tblCellMar>
    </w:tblPr>
  </w:style>
  <w:style w:type="paragraph" w:customStyle="1" w:styleId="2">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styleId="3">
    <w:name w:val="annotation text"/>
    <w:basedOn w:val="1"/>
    <w:uiPriority w:val="0"/>
    <w:pPr>
      <w:jc w:val="left"/>
    </w:pPr>
  </w:style>
  <w:style w:type="paragraph" w:styleId="4">
    <w:name w:val="Plain Text"/>
    <w:basedOn w:val="1"/>
    <w:qFormat/>
    <w:uiPriority w:val="0"/>
    <w:rPr>
      <w:rFonts w:ascii="宋体" w:hAnsi="Courier New" w:eastAsia="宋体"/>
      <w:szCs w:val="21"/>
    </w:rPr>
  </w:style>
  <w:style w:type="paragraph" w:styleId="5">
    <w:name w:val="footer"/>
    <w:basedOn w:val="1"/>
    <w:link w:val="12"/>
    <w:qFormat/>
    <w:uiPriority w:val="0"/>
    <w:pPr>
      <w:tabs>
        <w:tab w:val="center" w:pos="4153"/>
        <w:tab w:val="right" w:pos="8306"/>
      </w:tabs>
      <w:snapToGrid w:val="0"/>
      <w:jc w:val="left"/>
    </w:pPr>
    <w:rPr>
      <w:sz w:val="18"/>
      <w:szCs w:val="18"/>
    </w:rPr>
  </w:style>
  <w:style w:type="paragraph" w:styleId="6">
    <w:name w:val="header"/>
    <w:basedOn w:val="1"/>
    <w:link w:val="11"/>
    <w:qFormat/>
    <w:uiPriority w:val="0"/>
    <w:pPr>
      <w:tabs>
        <w:tab w:val="center" w:pos="4153"/>
        <w:tab w:val="right" w:pos="8306"/>
      </w:tabs>
      <w:snapToGrid w:val="0"/>
      <w:jc w:val="center"/>
    </w:pPr>
    <w:rPr>
      <w:sz w:val="18"/>
      <w:szCs w:val="18"/>
    </w:rPr>
  </w:style>
  <w:style w:type="paragraph" w:styleId="7">
    <w:name w:val="Title"/>
    <w:basedOn w:val="1"/>
    <w:next w:val="1"/>
    <w:qFormat/>
    <w:uiPriority w:val="0"/>
    <w:pPr>
      <w:spacing w:before="240" w:after="60"/>
      <w:jc w:val="center"/>
      <w:outlineLvl w:val="0"/>
    </w:pPr>
    <w:rPr>
      <w:rFonts w:ascii="Cambria" w:hAnsi="Cambria" w:eastAsia="宋体" w:cs="Times New Roman"/>
      <w:b/>
      <w:bCs/>
      <w:szCs w:val="32"/>
    </w:rPr>
  </w:style>
  <w:style w:type="character" w:customStyle="1" w:styleId="10">
    <w:name w:val="17"/>
    <w:basedOn w:val="9"/>
    <w:autoRedefine/>
    <w:qFormat/>
    <w:uiPriority w:val="0"/>
    <w:rPr>
      <w:rFonts w:hint="eastAsia" w:ascii="仿宋_GB2312" w:eastAsia="仿宋_GB2312"/>
      <w:b/>
      <w:bCs/>
      <w:kern w:val="44"/>
      <w:sz w:val="44"/>
      <w:szCs w:val="44"/>
    </w:rPr>
  </w:style>
  <w:style w:type="character" w:customStyle="1" w:styleId="11">
    <w:name w:val="页眉 字符"/>
    <w:basedOn w:val="9"/>
    <w:link w:val="6"/>
    <w:qFormat/>
    <w:uiPriority w:val="0"/>
    <w:rPr>
      <w:rFonts w:asciiTheme="minorHAnsi" w:hAnsiTheme="minorHAnsi" w:eastAsiaTheme="minorEastAsia" w:cstheme="minorBidi"/>
      <w:kern w:val="2"/>
      <w:sz w:val="18"/>
      <w:szCs w:val="18"/>
    </w:rPr>
  </w:style>
  <w:style w:type="character" w:customStyle="1" w:styleId="12">
    <w:name w:val="页脚 字符"/>
    <w:basedOn w:val="9"/>
    <w:link w:val="5"/>
    <w:qFormat/>
    <w:uiPriority w:val="0"/>
    <w:rPr>
      <w:rFonts w:asciiTheme="minorHAnsi" w:hAnsiTheme="minorHAnsi" w:eastAsiaTheme="minorEastAsia" w:cstheme="minorBidi"/>
      <w:kern w:val="2"/>
      <w:sz w:val="18"/>
      <w:szCs w:val="18"/>
    </w:rPr>
  </w:style>
  <w:style w:type="paragraph" w:styleId="13">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AppData\Roaming\Kingsoft\wps\addons\pool\win-i386\knewfileres_1.0.0.3\wps\0.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ractReview xmlns="http://schemas.wps.cn/vas-ai-hub/contract-review">
  <reviewItems>
    <reviewItem>
      <errorID>8cd66f1f-360a-4b11-b177-6b3a70720c84</errorID>
      <errorWord>个人</errorWord>
      <group>L1_Word</group>
      <groupName>字词问题</groupName>
      <ability>L2_Typo</ability>
      <abilityName>字词错误</abilityName>
      <candidateList>
        <item>人</item>
      </candidateList>
      <explain/>
      <paraID>72B4A054</paraID>
      <start>3</start>
      <end>5</end>
      <status>unmodified</status>
      <modifiedWord/>
      <trackRevisions>false</trackRevisions>
    </reviewItem>
    <reviewItem>
      <errorID>95eddaf2-2d83-4731-8461-2eeca41b575e</errorID>
      <errorWord>个人</errorWord>
      <group>L1_Word</group>
      <groupName>字词问题</groupName>
      <ability>L2_Typo</ability>
      <abilityName>字词错误</abilityName>
      <candidateList>
        <item>人</item>
      </candidateList>
      <explain/>
      <paraID> DB4FD85</paraID>
      <start>3</start>
      <end>5</end>
      <status>unmodified</status>
      <modifiedWord/>
      <trackRevisions>false</trackRevisions>
    </reviewItem>
    <reviewItem>
      <errorID>1d738e57-f137-472a-ade7-601e342fce5d</errorID>
      <errorWord>个人</errorWord>
      <group>L1_Word</group>
      <groupName>字词问题</groupName>
      <ability>L2_Typo</ability>
      <abilityName>字词错误</abilityName>
      <candidateList>
        <item>人</item>
      </candidateList>
      <explain/>
      <paraID>4D9B8680</paraID>
      <start>3</start>
      <end>5</end>
      <status>unmodified</status>
      <modifiedWord/>
      <trackRevisions>false</trackRevisions>
    </reviewItem>
    <reviewItem>
      <errorID>e9f5b524-e90c-4776-9aca-c464b7d275fa</errorID>
      <errorWord>个人</errorWord>
      <group>L1_Word</group>
      <groupName>字词问题</groupName>
      <ability>L2_Typo</ability>
      <abilityName>字词错误</abilityName>
      <candidateList>
        <item>人</item>
      </candidateList>
      <explain/>
      <paraID>2ABF0BAC</paraID>
      <start>3</start>
      <end>5</end>
      <status>unmodified</status>
      <modifiedWord/>
      <trackRevisions>false</trackRevisions>
    </reviewItem>
  </reviewItems>
  <config/>
</contractReview>
</file>

<file path=customXml/itemProps1.xml><?xml version="1.0" encoding="utf-8"?>
<ds:datastoreItem xmlns:ds="http://schemas.openxmlformats.org/officeDocument/2006/customXml" ds:itemID="{FAEA87CE-1027-44C5-A9DD-839AAA649D6B}">
  <ds:schemaRefs/>
</ds:datastoreItem>
</file>

<file path=customXml/itemProps2.xml><?xml version="1.0" encoding="utf-8"?>
<ds:datastoreItem xmlns:ds="http://schemas.openxmlformats.org/officeDocument/2006/customXml" ds:itemID="{37157957-E586-4591-8BEA-5D78AA2F8748}">
  <ds:schemaRefs/>
</ds:datastoreItem>
</file>

<file path=docProps/app.xml><?xml version="1.0" encoding="utf-8"?>
<Properties xmlns="http://schemas.openxmlformats.org/officeDocument/2006/extended-properties" xmlns:vt="http://schemas.openxmlformats.org/officeDocument/2006/docPropsVTypes">
  <Template>0.docx</Template>
  <Pages>5</Pages>
  <Words>1023</Words>
  <Characters>2516</Characters>
  <Lines>259</Lines>
  <Paragraphs>144</Paragraphs>
  <TotalTime>1</TotalTime>
  <ScaleCrop>false</ScaleCrop>
  <LinksUpToDate>false</LinksUpToDate>
  <CharactersWithSpaces>2729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2026-09-20T09:21:00Z</dcterms:created>
  <dc:creator>amd</dc:creator>
  <cp:lastModifiedBy>卡农</cp:lastModifiedBy>
  <dcterms:modified xsi:type="dcterms:W3CDTF">2026-09-24T10:32:28Z</dcterms:modified>
  <cp:revision>24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C0FD256CE2FB494E96FBC54E2ACA866C_13</vt:lpwstr>
  </property>
  <property fmtid="{D5CDD505-2E9C-101B-9397-08002B2CF9AE}" pid="4" name="KSOTemplateDocerSaveRecord">
    <vt:lpwstr>eyJoZGlkIjoiMmI0Yjg1YmE0ZDNhMzU4NGQ2ZWZlN2Q4MTI2NTI3ZWMiLCJ1c2VySWQiOiIzNjI5MDMwMzkifQ==</vt:lpwstr>
  </property>
</Properties>
</file>